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72" w:rsidRPr="00002950" w:rsidRDefault="00C90B2A" w:rsidP="00265EDC">
      <w:pPr>
        <w:jc w:val="center"/>
        <w:outlineLvl w:val="0"/>
        <w:rPr>
          <w:rFonts w:ascii="Calibri" w:hAnsi="Calibri"/>
          <w:b/>
          <w:color w:val="1F497D" w:themeColor="text2"/>
          <w:u w:val="single"/>
        </w:rPr>
      </w:pPr>
      <w:r>
        <w:rPr>
          <w:rFonts w:ascii="Calibri" w:hAnsi="Calibri"/>
          <w:b/>
          <w:color w:val="1F497D" w:themeColor="text2"/>
          <w:u w:val="single"/>
        </w:rPr>
        <w:t>2</w:t>
      </w:r>
      <w:r w:rsidR="00C02BBE" w:rsidRPr="00002950">
        <w:rPr>
          <w:rFonts w:ascii="Calibri" w:hAnsi="Calibri"/>
          <w:b/>
          <w:color w:val="1F497D" w:themeColor="text2"/>
          <w:u w:val="single"/>
        </w:rPr>
        <w:t xml:space="preserve">° </w:t>
      </w:r>
      <w:r w:rsidR="00A81172" w:rsidRPr="00002950">
        <w:rPr>
          <w:rFonts w:ascii="Calibri" w:hAnsi="Calibri"/>
          <w:b/>
          <w:color w:val="1F497D" w:themeColor="text2"/>
          <w:u w:val="single"/>
        </w:rPr>
        <w:t>RAPPORTO UIL SULLA CASSA INTEGRAZIONE</w:t>
      </w:r>
    </w:p>
    <w:p w:rsidR="00A81172" w:rsidRPr="00265EDC" w:rsidRDefault="00A81172" w:rsidP="00265EDC">
      <w:pPr>
        <w:jc w:val="center"/>
        <w:outlineLvl w:val="0"/>
        <w:rPr>
          <w:rFonts w:ascii="Calibri" w:hAnsi="Calibri"/>
          <w:b/>
          <w:color w:val="1F497D" w:themeColor="text2"/>
        </w:rPr>
      </w:pPr>
      <w:r w:rsidRPr="00265EDC">
        <w:rPr>
          <w:rFonts w:ascii="Calibri" w:hAnsi="Calibri"/>
          <w:b/>
          <w:color w:val="1F497D" w:themeColor="text2"/>
        </w:rPr>
        <w:t>Sintesi</w:t>
      </w:r>
    </w:p>
    <w:p w:rsidR="00A81172" w:rsidRDefault="00A81172" w:rsidP="00376194">
      <w:pPr>
        <w:outlineLvl w:val="0"/>
        <w:rPr>
          <w:rFonts w:ascii="Calibri" w:hAnsi="Calibri"/>
          <w:color w:val="1F497D" w:themeColor="text2"/>
        </w:rPr>
      </w:pPr>
    </w:p>
    <w:p w:rsidR="00265EDC" w:rsidRPr="00265EDC" w:rsidRDefault="00265EDC" w:rsidP="00917A95">
      <w:pPr>
        <w:jc w:val="both"/>
        <w:outlineLvl w:val="0"/>
        <w:rPr>
          <w:rFonts w:ascii="Calibri" w:eastAsia="Georgia" w:hAnsi="Calibri" w:cs="Georgia"/>
          <w:b/>
          <w:bCs/>
          <w:color w:val="1F497D"/>
          <w:u w:color="000000"/>
        </w:rPr>
      </w:pPr>
      <w:r w:rsidRPr="00265EDC">
        <w:rPr>
          <w:rFonts w:ascii="Calibri" w:hAnsi="Calibri"/>
          <w:color w:val="1F497D"/>
        </w:rPr>
        <w:t xml:space="preserve">Nel mese di </w:t>
      </w:r>
      <w:r w:rsidR="00C90B2A">
        <w:rPr>
          <w:rFonts w:ascii="Calibri" w:hAnsi="Calibri"/>
          <w:color w:val="1F497D"/>
        </w:rPr>
        <w:t>febbraio</w:t>
      </w:r>
      <w:r w:rsidRPr="00265EDC">
        <w:rPr>
          <w:rFonts w:ascii="Calibri" w:hAnsi="Calibri"/>
          <w:color w:val="1F497D"/>
        </w:rPr>
        <w:t xml:space="preserve">, le ore autorizzate di cassa integrazione, </w:t>
      </w:r>
      <w:r w:rsidRPr="00265EDC">
        <w:rPr>
          <w:rFonts w:ascii="Calibri" w:hAnsi="Calibri"/>
          <w:b/>
          <w:color w:val="1F497D"/>
        </w:rPr>
        <w:t xml:space="preserve">pari a </w:t>
      </w:r>
      <w:r w:rsidR="00C90B2A">
        <w:rPr>
          <w:rFonts w:ascii="Calibri" w:hAnsi="Calibri"/>
          <w:b/>
          <w:color w:val="1F497D"/>
        </w:rPr>
        <w:t>23,2</w:t>
      </w:r>
      <w:r w:rsidRPr="00265EDC">
        <w:rPr>
          <w:rFonts w:ascii="Calibri" w:hAnsi="Calibri"/>
          <w:b/>
          <w:color w:val="1F497D"/>
        </w:rPr>
        <w:t xml:space="preserve"> milioni di ore</w:t>
      </w:r>
      <w:r w:rsidRPr="00265EDC">
        <w:rPr>
          <w:rFonts w:ascii="Calibri" w:hAnsi="Calibri"/>
          <w:color w:val="1F497D"/>
        </w:rPr>
        <w:t xml:space="preserve">, </w:t>
      </w:r>
      <w:r w:rsidR="003C6602">
        <w:rPr>
          <w:rFonts w:ascii="Calibri" w:hAnsi="Calibri"/>
          <w:color w:val="1F497D"/>
        </w:rPr>
        <w:t xml:space="preserve">registrano un aumento </w:t>
      </w:r>
      <w:r w:rsidRPr="00265EDC">
        <w:rPr>
          <w:rFonts w:ascii="Calibri" w:hAnsi="Calibri"/>
          <w:color w:val="1F497D"/>
        </w:rPr>
        <w:t xml:space="preserve">del </w:t>
      </w:r>
      <w:r w:rsidR="00C90B2A" w:rsidRPr="00C90B2A">
        <w:rPr>
          <w:rFonts w:ascii="Calibri" w:hAnsi="Calibri"/>
          <w:b/>
          <w:color w:val="1F497D"/>
        </w:rPr>
        <w:t>34%</w:t>
      </w:r>
      <w:r w:rsidR="00C90B2A">
        <w:rPr>
          <w:rFonts w:ascii="Calibri" w:hAnsi="Calibri"/>
          <w:b/>
          <w:color w:val="1F497D"/>
        </w:rPr>
        <w:t xml:space="preserve"> </w:t>
      </w:r>
      <w:r w:rsidR="003C6602" w:rsidRPr="003C6602">
        <w:rPr>
          <w:rFonts w:ascii="Calibri" w:hAnsi="Calibri"/>
          <w:color w:val="1F497D"/>
        </w:rPr>
        <w:t xml:space="preserve">rispetto al mese precedente, </w:t>
      </w:r>
      <w:r w:rsidR="00C90B2A" w:rsidRPr="003C6602">
        <w:rPr>
          <w:rFonts w:ascii="Calibri" w:hAnsi="Calibri"/>
          <w:color w:val="1F497D"/>
        </w:rPr>
        <w:t>che ha</w:t>
      </w:r>
      <w:r w:rsidR="003C6602" w:rsidRPr="003C6602">
        <w:rPr>
          <w:rFonts w:ascii="Calibri" w:hAnsi="Calibri"/>
          <w:color w:val="1F497D"/>
        </w:rPr>
        <w:t>nno</w:t>
      </w:r>
      <w:r w:rsidR="00C90B2A" w:rsidRPr="003C6602">
        <w:rPr>
          <w:rFonts w:ascii="Calibri" w:hAnsi="Calibri"/>
          <w:color w:val="1F497D"/>
        </w:rPr>
        <w:t xml:space="preserve"> interessato tutte le gestioni:</w:t>
      </w:r>
      <w:r w:rsidR="00C90B2A">
        <w:rPr>
          <w:rFonts w:ascii="Calibri" w:hAnsi="Calibri"/>
          <w:b/>
          <w:color w:val="1F497D"/>
        </w:rPr>
        <w:t xml:space="preserve"> </w:t>
      </w:r>
      <w:r w:rsidRPr="00265EDC">
        <w:rPr>
          <w:rFonts w:ascii="Calibri" w:hAnsi="Calibri"/>
          <w:b/>
          <w:color w:val="1F497D"/>
        </w:rPr>
        <w:t xml:space="preserve">Cassa Integrazione </w:t>
      </w:r>
      <w:r w:rsidR="00C90B2A">
        <w:rPr>
          <w:rFonts w:ascii="Calibri" w:hAnsi="Calibri"/>
          <w:b/>
          <w:color w:val="1F497D"/>
        </w:rPr>
        <w:t>Ordinaria</w:t>
      </w:r>
      <w:r w:rsidR="007013E2">
        <w:rPr>
          <w:rFonts w:ascii="Calibri" w:hAnsi="Calibri"/>
          <w:b/>
          <w:color w:val="1F497D"/>
        </w:rPr>
        <w:t xml:space="preserve"> (</w:t>
      </w:r>
      <w:r w:rsidR="00C90B2A">
        <w:rPr>
          <w:rFonts w:ascii="Calibri" w:hAnsi="Calibri"/>
          <w:b/>
          <w:color w:val="1F497D"/>
        </w:rPr>
        <w:t>41,3</w:t>
      </w:r>
      <w:r w:rsidRPr="00265EDC">
        <w:rPr>
          <w:rFonts w:ascii="Calibri" w:hAnsi="Calibri"/>
          <w:b/>
          <w:color w:val="1F497D"/>
        </w:rPr>
        <w:t>%)</w:t>
      </w:r>
      <w:r w:rsidR="00C90B2A">
        <w:rPr>
          <w:rFonts w:ascii="Calibri" w:hAnsi="Calibri"/>
          <w:b/>
          <w:color w:val="1F497D"/>
        </w:rPr>
        <w:t xml:space="preserve">, </w:t>
      </w:r>
      <w:r w:rsidR="007013E2">
        <w:rPr>
          <w:rFonts w:ascii="Calibri" w:hAnsi="Calibri"/>
          <w:b/>
          <w:color w:val="1F497D"/>
        </w:rPr>
        <w:t>Straordinaria (</w:t>
      </w:r>
      <w:r w:rsidR="00C90B2A">
        <w:rPr>
          <w:rFonts w:ascii="Calibri" w:hAnsi="Calibri"/>
          <w:b/>
          <w:color w:val="1F497D"/>
        </w:rPr>
        <w:t xml:space="preserve">27,8%) </w:t>
      </w:r>
      <w:r w:rsidR="00C90B2A" w:rsidRPr="00C90B2A">
        <w:rPr>
          <w:rFonts w:ascii="Calibri" w:hAnsi="Calibri"/>
          <w:color w:val="1F497D"/>
        </w:rPr>
        <w:t>e</w:t>
      </w:r>
      <w:r w:rsidRPr="00265EDC">
        <w:rPr>
          <w:rFonts w:ascii="Calibri" w:hAnsi="Calibri"/>
          <w:color w:val="1F497D"/>
        </w:rPr>
        <w:t xml:space="preserve"> </w:t>
      </w:r>
      <w:r w:rsidRPr="00C90B2A">
        <w:rPr>
          <w:rFonts w:ascii="Calibri" w:hAnsi="Calibri"/>
          <w:b/>
          <w:color w:val="1F497D"/>
        </w:rPr>
        <w:t>deroga</w:t>
      </w:r>
      <w:r w:rsidR="00C90B2A">
        <w:rPr>
          <w:rFonts w:ascii="Calibri" w:hAnsi="Calibri"/>
          <w:color w:val="1F497D"/>
        </w:rPr>
        <w:t xml:space="preserve"> </w:t>
      </w:r>
      <w:r w:rsidR="007013E2">
        <w:rPr>
          <w:rFonts w:ascii="Calibri" w:hAnsi="Calibri"/>
          <w:b/>
          <w:color w:val="1F497D"/>
        </w:rPr>
        <w:t>(</w:t>
      </w:r>
      <w:r w:rsidR="00C90B2A" w:rsidRPr="00C90B2A">
        <w:rPr>
          <w:rFonts w:ascii="Calibri" w:hAnsi="Calibri"/>
          <w:b/>
          <w:color w:val="1F497D"/>
        </w:rPr>
        <w:t>60,1%)</w:t>
      </w:r>
      <w:r w:rsidRPr="00C90B2A">
        <w:rPr>
          <w:rFonts w:ascii="Calibri" w:hAnsi="Calibri"/>
          <w:b/>
          <w:color w:val="1F497D"/>
        </w:rPr>
        <w:t>.</w:t>
      </w:r>
      <w:r w:rsidRPr="00265EDC">
        <w:rPr>
          <w:rFonts w:ascii="Calibri" w:hAnsi="Calibri"/>
          <w:color w:val="1F497D"/>
        </w:rPr>
        <w:t xml:space="preserve"> </w:t>
      </w:r>
    </w:p>
    <w:p w:rsidR="00917A95" w:rsidRDefault="00917A95" w:rsidP="00917A95">
      <w:pPr>
        <w:jc w:val="both"/>
        <w:rPr>
          <w:rFonts w:asciiTheme="minorHAnsi" w:eastAsia="Arial Unicode MS" w:hAnsiTheme="minorHAnsi" w:cs="Arial Unicode MS"/>
          <w:color w:val="002060"/>
          <w:u w:color="000000"/>
        </w:rPr>
      </w:pPr>
    </w:p>
    <w:p w:rsidR="003C6602" w:rsidRPr="003C6602" w:rsidRDefault="003C6602" w:rsidP="00917A95">
      <w:pPr>
        <w:jc w:val="both"/>
        <w:rPr>
          <w:rFonts w:asciiTheme="minorHAnsi" w:eastAsia="Georgia" w:hAnsiTheme="minorHAnsi" w:cs="Georgia"/>
          <w:color w:val="002060"/>
          <w:u w:color="000000"/>
        </w:rPr>
      </w:pPr>
      <w:r w:rsidRPr="003C6602">
        <w:rPr>
          <w:rFonts w:asciiTheme="minorHAnsi" w:eastAsia="Arial Unicode MS" w:hAnsiTheme="minorHAnsi" w:cs="Arial Unicode MS"/>
          <w:color w:val="002060"/>
          <w:u w:color="000000"/>
        </w:rPr>
        <w:t>Dopo la flessione registrata negli ultimi 4 mesi, il dato congiunturale di febbraio mostra</w:t>
      </w:r>
      <w:r>
        <w:rPr>
          <w:rFonts w:asciiTheme="minorHAnsi" w:eastAsia="Arial Unicode MS" w:hAnsiTheme="minorHAnsi" w:cs="Arial Unicode MS"/>
          <w:color w:val="002060"/>
          <w:u w:color="000000"/>
        </w:rPr>
        <w:t>,</w:t>
      </w:r>
      <w:r w:rsidRPr="003C6602">
        <w:rPr>
          <w:rFonts w:asciiTheme="minorHAnsi" w:eastAsia="Arial Unicode MS" w:hAnsiTheme="minorHAnsi" w:cs="Arial Unicode MS"/>
          <w:color w:val="002060"/>
          <w:u w:color="000000"/>
        </w:rPr>
        <w:t xml:space="preserve"> </w:t>
      </w:r>
      <w:r>
        <w:rPr>
          <w:rFonts w:asciiTheme="minorHAnsi" w:eastAsia="Arial Unicode MS" w:hAnsiTheme="minorHAnsi" w:cs="Arial Unicode MS"/>
          <w:color w:val="002060"/>
          <w:u w:color="000000"/>
        </w:rPr>
        <w:t xml:space="preserve">quindi, </w:t>
      </w:r>
      <w:r w:rsidRPr="003C6602">
        <w:rPr>
          <w:rFonts w:asciiTheme="minorHAnsi" w:eastAsia="Arial Unicode MS" w:hAnsiTheme="minorHAnsi" w:cs="Arial Unicode MS"/>
          <w:color w:val="002060"/>
          <w:u w:color="000000"/>
        </w:rPr>
        <w:t>una ripresa delle richieste di cassa integrazione nelle sue principali gestioni che desta preoccupazione, soprattutto perché si tratta di dati al netto delle prestazioni di integrazioni al reddito presenti nei Fondi di Solidarietà, a partire dal Fis.</w:t>
      </w:r>
    </w:p>
    <w:p w:rsidR="00917A95" w:rsidRDefault="00917A95" w:rsidP="00917A95">
      <w:pPr>
        <w:jc w:val="both"/>
        <w:rPr>
          <w:rFonts w:asciiTheme="minorHAnsi" w:eastAsia="Arial Unicode MS" w:hAnsiTheme="minorHAnsi" w:cs="Arial Unicode MS"/>
          <w:color w:val="002060"/>
          <w:u w:color="000000"/>
        </w:rPr>
      </w:pPr>
    </w:p>
    <w:p w:rsidR="00917A95" w:rsidRPr="003C6602" w:rsidRDefault="003C6602" w:rsidP="00917A95">
      <w:pPr>
        <w:jc w:val="both"/>
        <w:rPr>
          <w:rFonts w:asciiTheme="minorHAnsi" w:eastAsia="Georgia" w:hAnsiTheme="minorHAnsi" w:cs="Georgia"/>
          <w:color w:val="002060"/>
          <w:u w:color="000000"/>
        </w:rPr>
      </w:pPr>
      <w:r w:rsidRPr="003C6602">
        <w:rPr>
          <w:rFonts w:asciiTheme="minorHAnsi" w:eastAsia="Arial Unicode MS" w:hAnsiTheme="minorHAnsi" w:cs="Arial Unicode MS"/>
          <w:color w:val="002060"/>
          <w:u w:color="000000"/>
        </w:rPr>
        <w:t xml:space="preserve">Il raffronto effettuato sul cumulo di ore autorizzate nel </w:t>
      </w:r>
      <w:r w:rsidRPr="003C6602">
        <w:rPr>
          <w:rFonts w:asciiTheme="minorHAnsi" w:eastAsia="Arial Unicode MS" w:hAnsiTheme="minorHAnsi" w:cs="Arial Unicode MS"/>
          <w:b/>
          <w:color w:val="002060"/>
          <w:u w:color="000000"/>
        </w:rPr>
        <w:t>I bimestre</w:t>
      </w:r>
      <w:r w:rsidRPr="003C6602">
        <w:rPr>
          <w:rFonts w:asciiTheme="minorHAnsi" w:eastAsia="Arial Unicode MS" w:hAnsiTheme="minorHAnsi" w:cs="Arial Unicode MS"/>
          <w:color w:val="002060"/>
          <w:u w:color="000000"/>
        </w:rPr>
        <w:t xml:space="preserve"> di quest’anno (</w:t>
      </w:r>
      <w:r w:rsidRPr="003C6602">
        <w:rPr>
          <w:rFonts w:asciiTheme="minorHAnsi" w:eastAsia="Arial Unicode MS" w:hAnsiTheme="minorHAnsi" w:cs="Arial Unicode MS"/>
          <w:b/>
          <w:color w:val="002060"/>
          <w:u w:color="000000"/>
        </w:rPr>
        <w:t>40,5 milioni di ore</w:t>
      </w:r>
      <w:r w:rsidRPr="003C6602">
        <w:rPr>
          <w:rFonts w:asciiTheme="minorHAnsi" w:eastAsia="Arial Unicode MS" w:hAnsiTheme="minorHAnsi" w:cs="Arial Unicode MS"/>
          <w:color w:val="002060"/>
          <w:u w:color="000000"/>
        </w:rPr>
        <w:t>) rispetto allo stesso periodo del 2017, sembra</w:t>
      </w:r>
      <w:r>
        <w:rPr>
          <w:rFonts w:asciiTheme="minorHAnsi" w:eastAsia="Arial Unicode MS" w:hAnsiTheme="minorHAnsi" w:cs="Arial Unicode MS"/>
          <w:color w:val="002060"/>
          <w:u w:color="000000"/>
        </w:rPr>
        <w:t>,</w:t>
      </w:r>
      <w:r w:rsidRPr="003C6602">
        <w:rPr>
          <w:rFonts w:asciiTheme="minorHAnsi" w:eastAsia="Arial Unicode MS" w:hAnsiTheme="minorHAnsi" w:cs="Arial Unicode MS"/>
          <w:color w:val="002060"/>
          <w:u w:color="000000"/>
        </w:rPr>
        <w:t xml:space="preserve"> </w:t>
      </w:r>
      <w:r>
        <w:rPr>
          <w:rFonts w:asciiTheme="minorHAnsi" w:eastAsia="Arial Unicode MS" w:hAnsiTheme="minorHAnsi" w:cs="Arial Unicode MS"/>
          <w:color w:val="002060"/>
          <w:u w:color="000000"/>
        </w:rPr>
        <w:t>viceversa,</w:t>
      </w:r>
      <w:r w:rsidRPr="003C6602">
        <w:rPr>
          <w:rFonts w:asciiTheme="minorHAnsi" w:eastAsia="Arial Unicode MS" w:hAnsiTheme="minorHAnsi" w:cs="Arial Unicode MS"/>
          <w:color w:val="002060"/>
          <w:u w:color="000000"/>
        </w:rPr>
        <w:t xml:space="preserve"> mostrare un complessivo rallentamento </w:t>
      </w:r>
      <w:r>
        <w:rPr>
          <w:rFonts w:asciiTheme="minorHAnsi" w:eastAsia="Arial Unicode MS" w:hAnsiTheme="minorHAnsi" w:cs="Arial Unicode MS"/>
          <w:color w:val="002060"/>
          <w:u w:color="000000"/>
        </w:rPr>
        <w:t xml:space="preserve">– </w:t>
      </w:r>
      <w:r w:rsidRPr="003C6602">
        <w:rPr>
          <w:rFonts w:asciiTheme="minorHAnsi" w:eastAsia="Arial Unicode MS" w:hAnsiTheme="minorHAnsi" w:cs="Arial Unicode MS"/>
          <w:b/>
          <w:color w:val="002060"/>
          <w:u w:color="000000"/>
        </w:rPr>
        <w:t>osserva il Segretario Confederale UIL Guglielmo Loy</w:t>
      </w:r>
      <w:r>
        <w:rPr>
          <w:rFonts w:asciiTheme="minorHAnsi" w:eastAsia="Arial Unicode MS" w:hAnsiTheme="minorHAnsi" w:cs="Arial Unicode MS"/>
          <w:color w:val="002060"/>
          <w:u w:color="000000"/>
        </w:rPr>
        <w:t xml:space="preserve"> - </w:t>
      </w:r>
      <w:r w:rsidRPr="003C6602">
        <w:rPr>
          <w:rFonts w:asciiTheme="minorHAnsi" w:eastAsia="Arial Unicode MS" w:hAnsiTheme="minorHAnsi" w:cs="Arial Unicode MS"/>
          <w:color w:val="002060"/>
          <w:u w:color="000000"/>
        </w:rPr>
        <w:t>nell’utilizzo dello strumento di integrazione al reddito (</w:t>
      </w:r>
      <w:r w:rsidRPr="003C6602">
        <w:rPr>
          <w:rFonts w:asciiTheme="minorHAnsi" w:eastAsia="Arial Unicode MS" w:hAnsiTheme="minorHAnsi" w:cs="Arial Unicode MS"/>
          <w:b/>
          <w:color w:val="002060"/>
          <w:u w:color="000000"/>
        </w:rPr>
        <w:t>-37,4%</w:t>
      </w:r>
      <w:r w:rsidRPr="003C6602">
        <w:rPr>
          <w:rFonts w:asciiTheme="minorHAnsi" w:eastAsia="Arial Unicode MS" w:hAnsiTheme="minorHAnsi" w:cs="Arial Unicode MS"/>
          <w:color w:val="002060"/>
          <w:u w:color="000000"/>
        </w:rPr>
        <w:t xml:space="preserve">) che ci porta a valori sempre più vicini a quelli dell’anno 2008 </w:t>
      </w:r>
      <w:r w:rsidR="0078055D">
        <w:rPr>
          <w:rFonts w:asciiTheme="minorHAnsi" w:eastAsia="Arial Unicode MS" w:hAnsiTheme="minorHAnsi" w:cs="Arial Unicode MS"/>
          <w:color w:val="002060"/>
          <w:u w:color="000000"/>
        </w:rPr>
        <w:t>(</w:t>
      </w:r>
      <w:r w:rsidRPr="003C6602">
        <w:rPr>
          <w:rFonts w:asciiTheme="minorHAnsi" w:eastAsia="Arial Unicode MS" w:hAnsiTheme="minorHAnsi" w:cs="Arial Unicode MS"/>
          <w:color w:val="002060"/>
          <w:u w:color="000000"/>
        </w:rPr>
        <w:t>dove le</w:t>
      </w:r>
      <w:r>
        <w:rPr>
          <w:rFonts w:asciiTheme="minorHAnsi" w:eastAsia="Arial Unicode MS" w:hAnsiTheme="minorHAnsi" w:cs="Arial Unicode MS"/>
          <w:color w:val="002060"/>
          <w:u w:color="000000"/>
        </w:rPr>
        <w:t xml:space="preserve"> ore ammontavano a 31,7 milioni</w:t>
      </w:r>
      <w:r w:rsidR="0078055D">
        <w:rPr>
          <w:rFonts w:asciiTheme="minorHAnsi" w:eastAsia="Arial Unicode MS" w:hAnsiTheme="minorHAnsi" w:cs="Arial Unicode MS"/>
          <w:color w:val="002060"/>
          <w:u w:color="000000"/>
        </w:rPr>
        <w:t>)</w:t>
      </w:r>
      <w:r>
        <w:rPr>
          <w:rFonts w:asciiTheme="minorHAnsi" w:eastAsia="Arial Unicode MS" w:hAnsiTheme="minorHAnsi" w:cs="Arial Unicode MS"/>
          <w:color w:val="002060"/>
          <w:u w:color="000000"/>
        </w:rPr>
        <w:t>.</w:t>
      </w:r>
      <w:r w:rsidR="00917A95" w:rsidRPr="00917A95">
        <w:rPr>
          <w:rFonts w:asciiTheme="minorHAnsi" w:eastAsia="Arial Unicode MS" w:hAnsiTheme="minorHAnsi" w:cs="Arial Unicode MS"/>
          <w:color w:val="002060"/>
          <w:u w:color="000000"/>
        </w:rPr>
        <w:t xml:space="preserve"> </w:t>
      </w:r>
      <w:r w:rsidR="00917A95" w:rsidRPr="003C6602">
        <w:rPr>
          <w:rFonts w:asciiTheme="minorHAnsi" w:eastAsia="Arial Unicode MS" w:hAnsiTheme="minorHAnsi" w:cs="Arial Unicode MS"/>
          <w:color w:val="002060"/>
          <w:u w:color="000000"/>
        </w:rPr>
        <w:t xml:space="preserve">La media dei posti di lavoro salvaguardati dall’ammortizzatore sociale nei primi due mesi dell’anno, ammonta, comunque,  a </w:t>
      </w:r>
      <w:r w:rsidR="00917A95" w:rsidRPr="003C6602">
        <w:rPr>
          <w:rFonts w:asciiTheme="minorHAnsi" w:eastAsia="Arial Unicode MS" w:hAnsiTheme="minorHAnsi" w:cs="Arial Unicode MS"/>
          <w:b/>
          <w:color w:val="002060"/>
          <w:u w:color="000000"/>
        </w:rPr>
        <w:t>119 mila unità</w:t>
      </w:r>
      <w:r w:rsidR="00917A95" w:rsidRPr="003C6602">
        <w:rPr>
          <w:rFonts w:asciiTheme="minorHAnsi" w:eastAsia="Arial Unicode MS" w:hAnsiTheme="minorHAnsi" w:cs="Arial Unicode MS"/>
          <w:color w:val="002060"/>
          <w:u w:color="000000"/>
        </w:rPr>
        <w:t>. Cifra che naturalmente è mol</w:t>
      </w:r>
      <w:bookmarkStart w:id="0" w:name="_GoBack"/>
      <w:bookmarkEnd w:id="0"/>
      <w:r w:rsidR="00917A95" w:rsidRPr="003C6602">
        <w:rPr>
          <w:rFonts w:asciiTheme="minorHAnsi" w:eastAsia="Arial Unicode MS" w:hAnsiTheme="minorHAnsi" w:cs="Arial Unicode MS"/>
          <w:color w:val="002060"/>
          <w:u w:color="000000"/>
        </w:rPr>
        <w:t>to più significativa  se calcolata sui beneficiari.</w:t>
      </w:r>
    </w:p>
    <w:p w:rsidR="00917A95" w:rsidRDefault="00917A95" w:rsidP="00917A95">
      <w:pPr>
        <w:jc w:val="both"/>
        <w:rPr>
          <w:rFonts w:asciiTheme="minorHAnsi" w:eastAsia="Arial Unicode MS" w:hAnsiTheme="minorHAnsi" w:cs="Arial Unicode MS"/>
          <w:color w:val="002060"/>
          <w:u w:color="000000"/>
        </w:rPr>
      </w:pPr>
    </w:p>
    <w:p w:rsidR="003C6602" w:rsidRDefault="003C6602" w:rsidP="00917A95">
      <w:pPr>
        <w:jc w:val="both"/>
        <w:rPr>
          <w:rFonts w:asciiTheme="minorHAnsi" w:eastAsia="Arial Unicode MS" w:hAnsiTheme="minorHAnsi" w:cs="Arial Unicode MS"/>
          <w:b/>
          <w:color w:val="002060"/>
          <w:u w:color="000000"/>
        </w:rPr>
      </w:pPr>
      <w:r w:rsidRPr="003C6602">
        <w:rPr>
          <w:rFonts w:asciiTheme="minorHAnsi" w:eastAsia="Arial Unicode MS" w:hAnsiTheme="minorHAnsi" w:cs="Arial Unicode MS"/>
          <w:color w:val="002060"/>
          <w:u w:color="000000"/>
        </w:rPr>
        <w:t xml:space="preserve">Il calo delle ore autorizzate oltre ad interessare tutte le gestioni, si manifesta anche nelle tre macro aree </w:t>
      </w:r>
      <w:r w:rsidRPr="003C6602">
        <w:rPr>
          <w:rFonts w:asciiTheme="minorHAnsi" w:eastAsia="Arial Unicode MS" w:hAnsiTheme="minorHAnsi" w:cs="Arial Unicode MS"/>
          <w:b/>
          <w:color w:val="002060"/>
          <w:u w:color="000000"/>
        </w:rPr>
        <w:t>(-44% al Centro, -37,1% al Nord, -31,9% al Mezzogiorno</w:t>
      </w:r>
      <w:r w:rsidRPr="003C6602">
        <w:rPr>
          <w:rFonts w:asciiTheme="minorHAnsi" w:eastAsia="Arial Unicode MS" w:hAnsiTheme="minorHAnsi" w:cs="Arial Unicode MS"/>
          <w:color w:val="002060"/>
          <w:u w:color="000000"/>
        </w:rPr>
        <w:t xml:space="preserve">) ed è un fenomeno che interessa la quasi totalità delle realtà regionali ad eccezione degli aumenti della </w:t>
      </w:r>
      <w:r w:rsidRPr="003C6602">
        <w:rPr>
          <w:rFonts w:asciiTheme="minorHAnsi" w:eastAsia="Arial Unicode MS" w:hAnsiTheme="minorHAnsi" w:cs="Arial Unicode MS"/>
          <w:b/>
          <w:color w:val="002060"/>
          <w:u w:color="000000"/>
        </w:rPr>
        <w:t>Valle d’Aosta (97,2%), Basilicata (44,6%), Sardegna (35,5%), Provincia Autonoma di Trento (12,9%) e Marche (7,3%).</w:t>
      </w:r>
    </w:p>
    <w:p w:rsidR="00917A95" w:rsidRDefault="00917A95" w:rsidP="00917A95">
      <w:pPr>
        <w:jc w:val="both"/>
        <w:rPr>
          <w:rFonts w:asciiTheme="minorHAnsi" w:eastAsia="Arial Unicode MS" w:hAnsiTheme="minorHAnsi" w:cs="Arial Unicode MS"/>
          <w:color w:val="002060"/>
          <w:u w:color="000000"/>
        </w:rPr>
      </w:pPr>
    </w:p>
    <w:p w:rsidR="007013E2" w:rsidRDefault="007013E2" w:rsidP="00917A95">
      <w:pPr>
        <w:jc w:val="both"/>
        <w:rPr>
          <w:rFonts w:asciiTheme="minorHAnsi" w:eastAsia="Arial Unicode MS" w:hAnsiTheme="minorHAnsi" w:cs="Arial Unicode MS"/>
          <w:color w:val="002060"/>
          <w:u w:color="000000"/>
        </w:rPr>
      </w:pPr>
      <w:r w:rsidRPr="007013E2">
        <w:rPr>
          <w:rFonts w:asciiTheme="minorHAnsi" w:eastAsia="Arial Unicode MS" w:hAnsiTheme="minorHAnsi" w:cs="Arial Unicode MS"/>
          <w:color w:val="002060"/>
          <w:u w:color="000000"/>
        </w:rPr>
        <w:t xml:space="preserve">A </w:t>
      </w:r>
      <w:r w:rsidRPr="007013E2">
        <w:rPr>
          <w:rFonts w:asciiTheme="minorHAnsi" w:eastAsia="Arial Unicode MS" w:hAnsiTheme="minorHAnsi" w:cs="Arial Unicode MS"/>
          <w:b/>
          <w:color w:val="002060"/>
          <w:u w:color="000000"/>
        </w:rPr>
        <w:t>livello provinciale</w:t>
      </w:r>
      <w:r w:rsidR="00917A95">
        <w:rPr>
          <w:rFonts w:asciiTheme="minorHAnsi" w:eastAsia="Arial Unicode MS" w:hAnsiTheme="minorHAnsi" w:cs="Arial Unicode MS"/>
          <w:b/>
          <w:color w:val="002060"/>
          <w:u w:color="000000"/>
        </w:rPr>
        <w:t xml:space="preserve"> -</w:t>
      </w:r>
      <w:r w:rsidRPr="007013E2">
        <w:rPr>
          <w:rFonts w:asciiTheme="minorHAnsi" w:eastAsia="Arial Unicode MS" w:hAnsiTheme="minorHAnsi" w:cs="Arial Unicode MS"/>
          <w:color w:val="002060"/>
          <w:u w:color="000000"/>
        </w:rPr>
        <w:t xml:space="preserve"> </w:t>
      </w:r>
      <w:r w:rsidR="00917A95" w:rsidRPr="00003E1D">
        <w:rPr>
          <w:rFonts w:asciiTheme="minorHAnsi" w:eastAsia="Arial Unicode MS" w:hAnsiTheme="minorHAnsi" w:cs="Arial Unicode MS"/>
          <w:b/>
          <w:color w:val="002060"/>
          <w:u w:color="000000"/>
        </w:rPr>
        <w:t>illustra Loy</w:t>
      </w:r>
      <w:r w:rsidR="00917A95" w:rsidRPr="007013E2">
        <w:rPr>
          <w:rFonts w:asciiTheme="minorHAnsi" w:eastAsia="Arial Unicode MS" w:hAnsiTheme="minorHAnsi" w:cs="Arial Unicode MS"/>
          <w:color w:val="002060"/>
          <w:u w:color="000000"/>
        </w:rPr>
        <w:t xml:space="preserve"> </w:t>
      </w:r>
      <w:r w:rsidR="00917A95">
        <w:rPr>
          <w:rFonts w:asciiTheme="minorHAnsi" w:eastAsia="Arial Unicode MS" w:hAnsiTheme="minorHAnsi" w:cs="Arial Unicode MS"/>
          <w:color w:val="002060"/>
          <w:u w:color="000000"/>
        </w:rPr>
        <w:t xml:space="preserve">- </w:t>
      </w:r>
      <w:r w:rsidRPr="007013E2">
        <w:rPr>
          <w:rFonts w:asciiTheme="minorHAnsi" w:eastAsia="Arial Unicode MS" w:hAnsiTheme="minorHAnsi" w:cs="Arial Unicode MS"/>
          <w:color w:val="002060"/>
          <w:u w:color="000000"/>
        </w:rPr>
        <w:t xml:space="preserve">l’incremento delle ore riguarda </w:t>
      </w:r>
      <w:r w:rsidRPr="007013E2">
        <w:rPr>
          <w:rFonts w:asciiTheme="minorHAnsi" w:eastAsia="Arial Unicode MS" w:hAnsiTheme="minorHAnsi" w:cs="Arial Unicode MS"/>
          <w:b/>
          <w:color w:val="002060"/>
          <w:u w:color="000000"/>
        </w:rPr>
        <w:t>33</w:t>
      </w:r>
      <w:r w:rsidRPr="007013E2">
        <w:rPr>
          <w:rFonts w:asciiTheme="minorHAnsi" w:eastAsia="Arial Unicode MS" w:hAnsiTheme="minorHAnsi" w:cs="Arial Unicode MS"/>
          <w:color w:val="002060"/>
          <w:u w:color="000000"/>
        </w:rPr>
        <w:t xml:space="preserve"> realtà</w:t>
      </w:r>
      <w:r>
        <w:rPr>
          <w:rFonts w:asciiTheme="minorHAnsi" w:eastAsia="Arial Unicode MS" w:hAnsiTheme="minorHAnsi" w:cs="Arial Unicode MS"/>
          <w:color w:val="002060"/>
          <w:u w:color="000000"/>
        </w:rPr>
        <w:t xml:space="preserve"> territoriali</w:t>
      </w:r>
      <w:r w:rsidRPr="007013E2">
        <w:rPr>
          <w:rFonts w:asciiTheme="minorHAnsi" w:eastAsia="Arial Unicode MS" w:hAnsiTheme="minorHAnsi" w:cs="Arial Unicode MS"/>
          <w:color w:val="002060"/>
          <w:u w:color="000000"/>
        </w:rPr>
        <w:t>,</w:t>
      </w:r>
      <w:r>
        <w:rPr>
          <w:rFonts w:asciiTheme="minorHAnsi" w:eastAsia="Arial Unicode MS" w:hAnsiTheme="minorHAnsi" w:cs="Arial Unicode MS"/>
          <w:color w:val="002060"/>
          <w:u w:color="000000"/>
        </w:rPr>
        <w:t xml:space="preserve"> con </w:t>
      </w:r>
      <w:r w:rsidR="00003E1D">
        <w:rPr>
          <w:rFonts w:asciiTheme="minorHAnsi" w:eastAsia="Arial Unicode MS" w:hAnsiTheme="minorHAnsi" w:cs="Arial Unicode MS"/>
          <w:color w:val="002060"/>
          <w:u w:color="000000"/>
        </w:rPr>
        <w:t xml:space="preserve">ai primi tre posti per maggiori aumenti, troviamo </w:t>
      </w:r>
      <w:r w:rsidRPr="00003E1D">
        <w:rPr>
          <w:rFonts w:asciiTheme="minorHAnsi" w:eastAsia="Arial Unicode MS" w:hAnsiTheme="minorHAnsi" w:cs="Arial Unicode MS"/>
          <w:b/>
          <w:color w:val="002060"/>
          <w:u w:color="000000"/>
        </w:rPr>
        <w:t>Verbania (667,2%), Varese (580,5%) e Brindisi (168,7%)</w:t>
      </w:r>
      <w:r w:rsidR="00003E1D">
        <w:rPr>
          <w:rFonts w:asciiTheme="minorHAnsi" w:eastAsia="Arial Unicode MS" w:hAnsiTheme="minorHAnsi" w:cs="Arial Unicode MS"/>
          <w:color w:val="002060"/>
          <w:u w:color="000000"/>
        </w:rPr>
        <w:t>.</w:t>
      </w:r>
      <w:r w:rsidRPr="00003E1D">
        <w:rPr>
          <w:rFonts w:asciiTheme="minorHAnsi" w:eastAsia="Arial Unicode MS" w:hAnsiTheme="minorHAnsi" w:cs="Arial Unicode MS"/>
          <w:color w:val="002060"/>
          <w:u w:color="000000"/>
        </w:rPr>
        <w:t xml:space="preserve"> </w:t>
      </w:r>
    </w:p>
    <w:p w:rsidR="00917A95" w:rsidRDefault="00917A95" w:rsidP="00917A95">
      <w:pPr>
        <w:jc w:val="both"/>
        <w:rPr>
          <w:rFonts w:asciiTheme="minorHAnsi" w:eastAsia="Arial Unicode MS" w:hAnsiTheme="minorHAnsi" w:cs="Arial Unicode MS"/>
          <w:color w:val="002060"/>
          <w:u w:color="000000"/>
        </w:rPr>
      </w:pPr>
    </w:p>
    <w:p w:rsidR="00917A95" w:rsidRPr="003C6602" w:rsidRDefault="00917A95" w:rsidP="00917A95">
      <w:pPr>
        <w:jc w:val="both"/>
        <w:rPr>
          <w:rFonts w:asciiTheme="minorHAnsi" w:eastAsia="Georgia" w:hAnsiTheme="minorHAnsi" w:cs="Georgia"/>
          <w:color w:val="002060"/>
          <w:u w:color="000000"/>
        </w:rPr>
      </w:pPr>
      <w:r>
        <w:rPr>
          <w:rFonts w:asciiTheme="minorHAnsi" w:eastAsia="Arial Unicode MS" w:hAnsiTheme="minorHAnsi" w:cs="Arial Unicode MS"/>
          <w:color w:val="002060"/>
          <w:u w:color="000000"/>
        </w:rPr>
        <w:t>Tra i principali settori produttivi, l’</w:t>
      </w:r>
      <w:r w:rsidRPr="00917A95">
        <w:rPr>
          <w:rFonts w:asciiTheme="minorHAnsi" w:eastAsia="Arial Unicode MS" w:hAnsiTheme="minorHAnsi" w:cs="Arial Unicode MS"/>
          <w:b/>
          <w:color w:val="002060"/>
          <w:u w:color="000000"/>
        </w:rPr>
        <w:t>industria</w:t>
      </w:r>
      <w:r>
        <w:rPr>
          <w:rFonts w:asciiTheme="minorHAnsi" w:eastAsia="Arial Unicode MS" w:hAnsiTheme="minorHAnsi" w:cs="Arial Unicode MS"/>
          <w:color w:val="002060"/>
          <w:u w:color="000000"/>
        </w:rPr>
        <w:t xml:space="preserve"> resta quello che assorbe il maggior numero di richieste nel bimestre </w:t>
      </w:r>
      <w:r w:rsidRPr="00917A95">
        <w:rPr>
          <w:rFonts w:asciiTheme="minorHAnsi" w:eastAsia="Arial Unicode MS" w:hAnsiTheme="minorHAnsi" w:cs="Arial Unicode MS"/>
          <w:b/>
          <w:color w:val="002060"/>
          <w:u w:color="000000"/>
        </w:rPr>
        <w:t>(27,4 milioni di ore autorizzate)</w:t>
      </w:r>
      <w:r w:rsidRPr="0078055D">
        <w:rPr>
          <w:rFonts w:asciiTheme="minorHAnsi" w:eastAsia="Arial Unicode MS" w:hAnsiTheme="minorHAnsi" w:cs="Arial Unicode MS"/>
          <w:color w:val="002060"/>
          <w:u w:color="000000"/>
        </w:rPr>
        <w:t xml:space="preserve">, cui segue il </w:t>
      </w:r>
      <w:r w:rsidRPr="00917A95">
        <w:rPr>
          <w:rFonts w:asciiTheme="minorHAnsi" w:eastAsia="Arial Unicode MS" w:hAnsiTheme="minorHAnsi" w:cs="Arial Unicode MS"/>
          <w:b/>
          <w:color w:val="002060"/>
          <w:u w:color="000000"/>
        </w:rPr>
        <w:t>commercio (7,7 milioni), l’edilizia (5,3 milioni) e l’artigianato (64 mila).</w:t>
      </w:r>
      <w:r>
        <w:rPr>
          <w:rFonts w:asciiTheme="minorHAnsi" w:eastAsia="Arial Unicode MS" w:hAnsiTheme="minorHAnsi" w:cs="Arial Unicode MS"/>
          <w:color w:val="002060"/>
          <w:u w:color="000000"/>
        </w:rPr>
        <w:t xml:space="preserve"> Ed in tutti - </w:t>
      </w:r>
      <w:r>
        <w:rPr>
          <w:rFonts w:asciiTheme="minorHAnsi" w:eastAsia="Arial Unicode MS" w:hAnsiTheme="minorHAnsi" w:cs="Arial Unicode MS"/>
          <w:b/>
          <w:color w:val="002060"/>
          <w:u w:color="000000"/>
        </w:rPr>
        <w:t>sottolinea</w:t>
      </w:r>
      <w:r w:rsidRPr="00917A95">
        <w:rPr>
          <w:rFonts w:asciiTheme="minorHAnsi" w:eastAsia="Arial Unicode MS" w:hAnsiTheme="minorHAnsi" w:cs="Arial Unicode MS"/>
          <w:b/>
          <w:color w:val="002060"/>
          <w:u w:color="000000"/>
        </w:rPr>
        <w:t xml:space="preserve"> Loy</w:t>
      </w:r>
      <w:r>
        <w:rPr>
          <w:rFonts w:asciiTheme="minorHAnsi" w:eastAsia="Arial Unicode MS" w:hAnsiTheme="minorHAnsi" w:cs="Arial Unicode MS"/>
          <w:color w:val="002060"/>
          <w:u w:color="000000"/>
        </w:rPr>
        <w:t xml:space="preserve"> -si manifesta la flessione di ore rispetto allo stesso periodo del 2017.</w:t>
      </w:r>
    </w:p>
    <w:p w:rsidR="00917A95" w:rsidRDefault="00917A95" w:rsidP="00917A95">
      <w:pPr>
        <w:jc w:val="both"/>
        <w:rPr>
          <w:rFonts w:asciiTheme="minorHAnsi" w:eastAsia="Arial Unicode MS" w:hAnsiTheme="minorHAnsi" w:cs="Arial Unicode MS"/>
          <w:color w:val="002060"/>
          <w:u w:color="000000"/>
        </w:rPr>
      </w:pPr>
    </w:p>
    <w:p w:rsidR="004360F2" w:rsidRPr="004360F2" w:rsidRDefault="004360F2" w:rsidP="00917A95">
      <w:pPr>
        <w:jc w:val="both"/>
        <w:rPr>
          <w:rFonts w:asciiTheme="minorHAnsi" w:eastAsia="Georgia" w:hAnsiTheme="minorHAnsi" w:cs="Georgia"/>
          <w:color w:val="002060"/>
          <w:u w:color="000000"/>
        </w:rPr>
      </w:pPr>
      <w:r w:rsidRPr="004360F2">
        <w:rPr>
          <w:rFonts w:asciiTheme="minorHAnsi" w:eastAsia="Arial Unicode MS" w:hAnsiTheme="minorHAnsi" w:cs="Arial Unicode MS"/>
          <w:color w:val="002060"/>
          <w:u w:color="000000"/>
        </w:rPr>
        <w:t>In attesa di sapere nel corso dell’anno come evolverà tale utilizzo, il  nostro mercato del lavoro evidenzia fenomeni contrastanti: da una parte la tendenza a una flessione della cassa integrazione,  che sp</w:t>
      </w:r>
      <w:r>
        <w:rPr>
          <w:rFonts w:asciiTheme="minorHAnsi" w:eastAsia="Arial Unicode MS" w:hAnsiTheme="minorHAnsi" w:cs="Arial Unicode MS"/>
          <w:color w:val="002060"/>
          <w:u w:color="000000"/>
        </w:rPr>
        <w:t xml:space="preserve">ingerebbe ad essere ottimisti, </w:t>
      </w:r>
      <w:r w:rsidRPr="004360F2">
        <w:rPr>
          <w:rFonts w:asciiTheme="minorHAnsi" w:eastAsia="Arial Unicode MS" w:hAnsiTheme="minorHAnsi" w:cs="Arial Unicode MS"/>
          <w:color w:val="002060"/>
          <w:u w:color="000000"/>
        </w:rPr>
        <w:t xml:space="preserve">dall’altra, però, una crescita delle domande di disoccupazione che </w:t>
      </w:r>
      <w:r w:rsidR="00B00211">
        <w:rPr>
          <w:rFonts w:asciiTheme="minorHAnsi" w:eastAsia="Arial Unicode MS" w:hAnsiTheme="minorHAnsi" w:cs="Arial Unicode MS"/>
          <w:color w:val="002060"/>
          <w:u w:color="000000"/>
        </w:rPr>
        <w:t xml:space="preserve">– </w:t>
      </w:r>
      <w:r w:rsidR="00B00211" w:rsidRPr="00B00211">
        <w:rPr>
          <w:rFonts w:asciiTheme="minorHAnsi" w:eastAsia="Arial Unicode MS" w:hAnsiTheme="minorHAnsi" w:cs="Arial Unicode MS"/>
          <w:b/>
          <w:color w:val="002060"/>
          <w:u w:color="000000"/>
        </w:rPr>
        <w:t>conclude Loy</w:t>
      </w:r>
      <w:r w:rsidR="00B00211">
        <w:rPr>
          <w:rFonts w:asciiTheme="minorHAnsi" w:eastAsia="Arial Unicode MS" w:hAnsiTheme="minorHAnsi" w:cs="Arial Unicode MS"/>
          <w:color w:val="002060"/>
          <w:u w:color="000000"/>
        </w:rPr>
        <w:t xml:space="preserve"> - </w:t>
      </w:r>
      <w:r w:rsidRPr="004360F2">
        <w:rPr>
          <w:rFonts w:asciiTheme="minorHAnsi" w:eastAsia="Arial Unicode MS" w:hAnsiTheme="minorHAnsi" w:cs="Arial Unicode MS"/>
          <w:color w:val="002060"/>
          <w:u w:color="000000"/>
        </w:rPr>
        <w:t>ci riconduce alla cruda realtà dell’alta presenza di un’occupazione “temporanea”, come testimoniano i dati dell’Osservatorio Inps sul precariato, in cui, nel 2017, il rapporto tra attivazioni a tempo determinato e indeterminato è stato, rispettivamente, di 3 a 1.</w:t>
      </w:r>
    </w:p>
    <w:p w:rsidR="00265EDC" w:rsidRPr="00265EDC" w:rsidRDefault="00265EDC" w:rsidP="00265EDC">
      <w:pPr>
        <w:rPr>
          <w:rFonts w:ascii="Calibri" w:hAnsi="Calibri"/>
          <w:color w:val="1F497D"/>
        </w:rPr>
      </w:pPr>
    </w:p>
    <w:p w:rsidR="00265EDC" w:rsidRDefault="00265EDC" w:rsidP="00265EDC">
      <w:pPr>
        <w:rPr>
          <w:rFonts w:ascii="Calibri" w:hAnsi="Calibri"/>
          <w:b/>
          <w:bCs/>
          <w:color w:val="1F497D" w:themeColor="text2"/>
        </w:rPr>
      </w:pPr>
      <w:r>
        <w:rPr>
          <w:rFonts w:ascii="Calibri" w:hAnsi="Calibri"/>
          <w:b/>
          <w:bCs/>
          <w:color w:val="1F497D" w:themeColor="text2"/>
        </w:rPr>
        <w:t xml:space="preserve">Roma </w:t>
      </w:r>
      <w:r w:rsidR="004360F2">
        <w:rPr>
          <w:rFonts w:ascii="Calibri" w:hAnsi="Calibri"/>
          <w:b/>
          <w:bCs/>
          <w:color w:val="1F497D" w:themeColor="text2"/>
        </w:rPr>
        <w:t xml:space="preserve">6 aprile </w:t>
      </w:r>
      <w:r>
        <w:rPr>
          <w:rFonts w:ascii="Calibri" w:hAnsi="Calibri"/>
          <w:b/>
          <w:bCs/>
          <w:color w:val="1F497D" w:themeColor="text2"/>
        </w:rPr>
        <w:t>201</w:t>
      </w:r>
      <w:r w:rsidR="004360F2">
        <w:rPr>
          <w:rFonts w:ascii="Calibri" w:hAnsi="Calibri"/>
          <w:b/>
          <w:bCs/>
          <w:color w:val="1F497D" w:themeColor="text2"/>
        </w:rPr>
        <w:t>8</w:t>
      </w:r>
    </w:p>
    <w:p w:rsidR="004360F2" w:rsidRDefault="004360F2" w:rsidP="00265EDC">
      <w:pPr>
        <w:rPr>
          <w:rFonts w:ascii="Calibri" w:hAnsi="Calibri"/>
          <w:b/>
          <w:bCs/>
          <w:color w:val="1F497D" w:themeColor="text2"/>
        </w:rPr>
      </w:pPr>
    </w:p>
    <w:p w:rsidR="004360F2" w:rsidRDefault="004360F2" w:rsidP="00265EDC">
      <w:pPr>
        <w:rPr>
          <w:rFonts w:ascii="Calibri" w:hAnsi="Calibri"/>
          <w:b/>
          <w:bCs/>
          <w:color w:val="1F497D" w:themeColor="text2"/>
        </w:rPr>
      </w:pPr>
    </w:p>
    <w:p w:rsidR="004360F2" w:rsidRDefault="004360F2" w:rsidP="00265EDC">
      <w:pPr>
        <w:rPr>
          <w:rFonts w:ascii="Calibri" w:hAnsi="Calibri"/>
          <w:b/>
          <w:bCs/>
          <w:color w:val="1F497D" w:themeColor="text2"/>
        </w:rPr>
      </w:pPr>
    </w:p>
    <w:p w:rsidR="004360F2" w:rsidRDefault="004360F2" w:rsidP="00265EDC">
      <w:pPr>
        <w:rPr>
          <w:rFonts w:ascii="Calibri" w:hAnsi="Calibri"/>
          <w:b/>
          <w:bCs/>
          <w:color w:val="1F497D" w:themeColor="text2"/>
        </w:rPr>
      </w:pPr>
    </w:p>
    <w:p w:rsidR="008A5CBD" w:rsidRDefault="00917A95" w:rsidP="00265EDC">
      <w:pPr>
        <w:rPr>
          <w:rFonts w:ascii="Calibri" w:hAnsi="Calibri"/>
          <w:b/>
          <w:bCs/>
          <w:color w:val="1F497D" w:themeColor="text2"/>
        </w:rPr>
      </w:pPr>
      <w:r>
        <w:rPr>
          <w:rFonts w:ascii="Calibri" w:hAnsi="Calibri"/>
          <w:b/>
          <w:bCs/>
          <w:color w:val="1F497D" w:themeColor="text2"/>
        </w:rPr>
        <w:lastRenderedPageBreak/>
        <w:t>SCHEDA DI SINTESI</w:t>
      </w:r>
    </w:p>
    <w:tbl>
      <w:tblPr>
        <w:tblStyle w:val="Grigliatabella2"/>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927"/>
        <w:gridCol w:w="4927"/>
      </w:tblGrid>
      <w:tr w:rsidR="008A5CBD" w:rsidRPr="008A5CBD" w:rsidTr="009E22E8">
        <w:trPr>
          <w:trHeight w:val="358"/>
        </w:trPr>
        <w:tc>
          <w:tcPr>
            <w:tcW w:w="7363" w:type="dxa"/>
          </w:tcPr>
          <w:p w:rsidR="008A5CBD" w:rsidRPr="008A5CBD" w:rsidRDefault="008A5CBD" w:rsidP="008A5CBD">
            <w:pPr>
              <w:jc w:val="center"/>
              <w:rPr>
                <w:rFonts w:ascii="Georgia" w:hAnsi="Georgia"/>
                <w:color w:val="002060"/>
              </w:rPr>
            </w:pPr>
            <w:r w:rsidRPr="008A5CBD">
              <w:rPr>
                <w:rFonts w:ascii="Calibri" w:hAnsi="Calibri"/>
                <w:b/>
                <w:color w:val="C00000"/>
              </w:rPr>
              <w:t>Ore autorizzate a FEBBRAIO 2018 (confronto con GENNAIO 2018)</w:t>
            </w:r>
          </w:p>
        </w:tc>
        <w:tc>
          <w:tcPr>
            <w:tcW w:w="7363" w:type="dxa"/>
          </w:tcPr>
          <w:p w:rsidR="008A5CBD" w:rsidRPr="008A5CBD" w:rsidRDefault="008A5CBD" w:rsidP="008A5CBD">
            <w:pPr>
              <w:jc w:val="center"/>
              <w:rPr>
                <w:rFonts w:ascii="Georgia" w:hAnsi="Georgia"/>
                <w:color w:val="002060"/>
              </w:rPr>
            </w:pPr>
            <w:r w:rsidRPr="008A5CBD">
              <w:rPr>
                <w:rFonts w:ascii="Calibri" w:hAnsi="Calibri"/>
                <w:b/>
                <w:color w:val="C00000"/>
              </w:rPr>
              <w:t>Ore autorizzate nel I BIMESTRE 2018 (confronto con I BIMESTRE 2017)</w:t>
            </w:r>
          </w:p>
        </w:tc>
      </w:tr>
      <w:tr w:rsidR="008A5CBD" w:rsidRPr="008A5CBD" w:rsidTr="009E22E8">
        <w:tc>
          <w:tcPr>
            <w:tcW w:w="7363" w:type="dxa"/>
          </w:tcPr>
          <w:p w:rsidR="008A5CBD" w:rsidRPr="008A5CBD" w:rsidRDefault="008A5CBD" w:rsidP="008A5CBD">
            <w:pPr>
              <w:jc w:val="both"/>
              <w:rPr>
                <w:rFonts w:ascii="Georgia" w:hAnsi="Georgia"/>
                <w:color w:val="002060"/>
                <w:sz w:val="21"/>
                <w:szCs w:val="21"/>
                <w:u w:val="single"/>
              </w:rPr>
            </w:pPr>
            <w:r w:rsidRPr="008A5CBD">
              <w:rPr>
                <w:rFonts w:ascii="Georgia" w:hAnsi="Georgia"/>
                <w:color w:val="002060"/>
                <w:sz w:val="21"/>
                <w:szCs w:val="21"/>
                <w:u w:val="single"/>
              </w:rPr>
              <w:t>Dati nazionali e per gestione:</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 xml:space="preserve">ORE AUTORIZZATE: </w:t>
            </w:r>
            <w:r w:rsidRPr="008A5CBD">
              <w:rPr>
                <w:rFonts w:ascii="Georgia" w:hAnsi="Georgia"/>
                <w:b/>
                <w:color w:val="002060"/>
                <w:sz w:val="21"/>
                <w:szCs w:val="21"/>
              </w:rPr>
              <w:t>23,2</w:t>
            </w:r>
            <w:r w:rsidRPr="008A5CBD">
              <w:rPr>
                <w:rFonts w:ascii="Georgia" w:hAnsi="Georgia"/>
                <w:color w:val="002060"/>
                <w:sz w:val="21"/>
                <w:szCs w:val="21"/>
              </w:rPr>
              <w:t xml:space="preserve"> </w:t>
            </w:r>
            <w:r w:rsidRPr="008A5CBD">
              <w:rPr>
                <w:rFonts w:ascii="Georgia" w:hAnsi="Georgia"/>
                <w:b/>
                <w:color w:val="002060"/>
                <w:sz w:val="21"/>
                <w:szCs w:val="21"/>
              </w:rPr>
              <w:t>milioni</w:t>
            </w:r>
            <w:r w:rsidRPr="008A5CBD">
              <w:rPr>
                <w:rFonts w:ascii="Georgia" w:hAnsi="Georgia"/>
                <w:color w:val="002060"/>
                <w:sz w:val="21"/>
                <w:szCs w:val="21"/>
              </w:rPr>
              <w:t xml:space="preserve"> (+</w:t>
            </w:r>
            <w:r w:rsidRPr="008A5CBD">
              <w:rPr>
                <w:rFonts w:ascii="Georgia" w:hAnsi="Georgia"/>
                <w:b/>
                <w:color w:val="002060"/>
                <w:sz w:val="21"/>
                <w:szCs w:val="21"/>
              </w:rPr>
              <w:t xml:space="preserve">34% </w:t>
            </w:r>
            <w:r w:rsidRPr="008A5CBD">
              <w:rPr>
                <w:rFonts w:ascii="Georgia" w:hAnsi="Georgia"/>
                <w:color w:val="002060"/>
                <w:sz w:val="21"/>
                <w:szCs w:val="21"/>
              </w:rPr>
              <w:t>su gennaio 2018)</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 xml:space="preserve">CIGO: 9,7 milioni (+41,3%) </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CIGS: 12,8 milioni (+27,8%)</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CIGD: 721 mila (+60,1%)</w:t>
            </w:r>
          </w:p>
          <w:p w:rsidR="008A5CBD" w:rsidRPr="008A5CBD" w:rsidRDefault="008A5CBD" w:rsidP="008A5CBD">
            <w:pPr>
              <w:jc w:val="both"/>
              <w:rPr>
                <w:rFonts w:ascii="Georgia" w:hAnsi="Georgia"/>
                <w:color w:val="002060"/>
                <w:sz w:val="21"/>
                <w:szCs w:val="21"/>
              </w:rPr>
            </w:pP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u w:val="single"/>
              </w:rPr>
              <w:t>Stima UIL</w:t>
            </w:r>
            <w:r w:rsidRPr="008A5CBD">
              <w:rPr>
                <w:rFonts w:ascii="Georgia" w:hAnsi="Georgia"/>
                <w:color w:val="002060"/>
                <w:sz w:val="21"/>
                <w:szCs w:val="21"/>
              </w:rPr>
              <w:t xml:space="preserve"> posti lavoro salvaguardati a febbraio 2018: </w:t>
            </w:r>
            <w:r w:rsidRPr="008A5CBD">
              <w:rPr>
                <w:rFonts w:ascii="Georgia" w:hAnsi="Georgia"/>
                <w:b/>
                <w:color w:val="002060"/>
                <w:sz w:val="21"/>
                <w:szCs w:val="21"/>
              </w:rPr>
              <w:t>136</w:t>
            </w:r>
            <w:r w:rsidRPr="008A5CBD">
              <w:rPr>
                <w:rFonts w:ascii="Georgia" w:hAnsi="Georgia"/>
                <w:color w:val="002060"/>
                <w:sz w:val="21"/>
                <w:szCs w:val="21"/>
              </w:rPr>
              <w:t xml:space="preserve"> </w:t>
            </w:r>
            <w:r w:rsidRPr="008A5CBD">
              <w:rPr>
                <w:rFonts w:ascii="Georgia" w:hAnsi="Georgia"/>
                <w:b/>
                <w:color w:val="002060"/>
                <w:sz w:val="21"/>
                <w:szCs w:val="21"/>
              </w:rPr>
              <w:t>mila</w:t>
            </w:r>
          </w:p>
          <w:p w:rsidR="008A5CBD" w:rsidRPr="008A5CBD" w:rsidRDefault="008A5CBD" w:rsidP="008A5CBD">
            <w:pPr>
              <w:jc w:val="both"/>
              <w:rPr>
                <w:rFonts w:ascii="Georgia" w:hAnsi="Georgia"/>
                <w:color w:val="002060"/>
                <w:sz w:val="21"/>
                <w:szCs w:val="21"/>
              </w:rPr>
            </w:pPr>
          </w:p>
          <w:p w:rsidR="008A5CBD" w:rsidRPr="008A5CBD" w:rsidRDefault="008A5CBD" w:rsidP="008A5CBD">
            <w:pPr>
              <w:jc w:val="both"/>
              <w:rPr>
                <w:rFonts w:ascii="Georgia" w:hAnsi="Georgia"/>
                <w:color w:val="002060"/>
                <w:sz w:val="21"/>
                <w:szCs w:val="21"/>
                <w:u w:val="single"/>
              </w:rPr>
            </w:pPr>
            <w:r w:rsidRPr="008A5CBD">
              <w:rPr>
                <w:rFonts w:ascii="Georgia" w:hAnsi="Georgia"/>
                <w:color w:val="002060"/>
                <w:sz w:val="21"/>
                <w:szCs w:val="21"/>
                <w:u w:val="single"/>
              </w:rPr>
              <w:t>Dati per macro area:</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 xml:space="preserve">NORD: 12 milioni (+45,5 %) </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CENTRO: 4,9 milioni (+25,5 %)</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MEZZOGIORNO: 6,3 milioni (+22 %)</w:t>
            </w:r>
          </w:p>
          <w:p w:rsidR="008A5CBD" w:rsidRPr="008A5CBD" w:rsidRDefault="008A5CBD" w:rsidP="008A5CBD">
            <w:pPr>
              <w:jc w:val="both"/>
              <w:rPr>
                <w:rFonts w:ascii="Georgia" w:hAnsi="Georgia"/>
                <w:color w:val="002060"/>
                <w:sz w:val="21"/>
                <w:szCs w:val="21"/>
              </w:rPr>
            </w:pPr>
          </w:p>
          <w:p w:rsidR="008A5CBD" w:rsidRPr="008A5CBD" w:rsidRDefault="008A5CBD" w:rsidP="008A5CBD">
            <w:pPr>
              <w:jc w:val="both"/>
              <w:rPr>
                <w:rFonts w:ascii="Georgia" w:hAnsi="Georgia"/>
                <w:color w:val="002060"/>
                <w:sz w:val="21"/>
                <w:szCs w:val="21"/>
                <w:u w:val="single"/>
              </w:rPr>
            </w:pPr>
            <w:r w:rsidRPr="008A5CBD">
              <w:rPr>
                <w:rFonts w:ascii="Georgia" w:hAnsi="Georgia"/>
                <w:color w:val="002060"/>
                <w:sz w:val="21"/>
                <w:szCs w:val="21"/>
                <w:u w:val="single"/>
              </w:rPr>
              <w:t>Dati regionali:</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 xml:space="preserve">Aumento in 13 Regioni e Prov. Aut. di Trento    </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Prime 3 Regioni per maggior aumento: Molise (+417,2%); Prov. Aut. di Trento (+349,2%); Emilia Romagna  (+210%)</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Ultime 3 Regioni con maggiore flessione: Prov. Aut. di Bolzano (-47,4%); Valle d’Aosta (-22,9%); Calabria (-11,7%)</w:t>
            </w:r>
          </w:p>
          <w:p w:rsidR="008A5CBD" w:rsidRPr="008A5CBD" w:rsidRDefault="008A5CBD" w:rsidP="008A5CBD">
            <w:pPr>
              <w:jc w:val="both"/>
              <w:rPr>
                <w:rFonts w:ascii="Georgia" w:hAnsi="Georgia"/>
                <w:color w:val="002060"/>
                <w:sz w:val="21"/>
                <w:szCs w:val="21"/>
              </w:rPr>
            </w:pPr>
          </w:p>
          <w:p w:rsidR="008A5CBD" w:rsidRPr="008A5CBD" w:rsidRDefault="008A5CBD" w:rsidP="008A5CBD">
            <w:pPr>
              <w:jc w:val="both"/>
              <w:rPr>
                <w:rFonts w:ascii="Georgia" w:hAnsi="Georgia"/>
                <w:color w:val="002060"/>
                <w:sz w:val="21"/>
                <w:szCs w:val="21"/>
                <w:u w:val="single"/>
              </w:rPr>
            </w:pPr>
            <w:r w:rsidRPr="008A5CBD">
              <w:rPr>
                <w:rFonts w:ascii="Georgia" w:hAnsi="Georgia"/>
                <w:color w:val="002060"/>
                <w:sz w:val="21"/>
                <w:szCs w:val="21"/>
                <w:u w:val="single"/>
              </w:rPr>
              <w:t>Dati provinciali:</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Aumento in 67 Province</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Le prime 5 province di maggior crescita: Lodi, Enna, Savona, Verbania, Novara</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Ultime 5 Province con maggiore riduzione: Crotone, Lucca, Trieste, Terni, Asti</w:t>
            </w:r>
          </w:p>
        </w:tc>
        <w:tc>
          <w:tcPr>
            <w:tcW w:w="7363" w:type="dxa"/>
          </w:tcPr>
          <w:p w:rsidR="008A5CBD" w:rsidRPr="008A5CBD" w:rsidRDefault="008A5CBD" w:rsidP="008A5CBD">
            <w:pPr>
              <w:jc w:val="both"/>
              <w:rPr>
                <w:rFonts w:ascii="Georgia" w:hAnsi="Georgia"/>
                <w:color w:val="002060"/>
                <w:sz w:val="21"/>
                <w:szCs w:val="21"/>
                <w:u w:val="single"/>
              </w:rPr>
            </w:pPr>
            <w:r w:rsidRPr="008A5CBD">
              <w:rPr>
                <w:rFonts w:ascii="Georgia" w:hAnsi="Georgia"/>
                <w:color w:val="002060"/>
                <w:sz w:val="21"/>
                <w:szCs w:val="21"/>
                <w:u w:val="single"/>
              </w:rPr>
              <w:t>Dati nazionali e per gestione:</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 xml:space="preserve">ORE AUTORIZZATE: </w:t>
            </w:r>
            <w:r w:rsidRPr="008A5CBD">
              <w:rPr>
                <w:rFonts w:ascii="Georgia" w:hAnsi="Georgia"/>
                <w:b/>
                <w:color w:val="002060"/>
                <w:sz w:val="21"/>
                <w:szCs w:val="21"/>
              </w:rPr>
              <w:t>40,5</w:t>
            </w:r>
            <w:r w:rsidRPr="008A5CBD">
              <w:rPr>
                <w:rFonts w:ascii="Georgia" w:hAnsi="Georgia"/>
                <w:color w:val="002060"/>
                <w:sz w:val="21"/>
                <w:szCs w:val="21"/>
              </w:rPr>
              <w:t xml:space="preserve"> </w:t>
            </w:r>
            <w:r w:rsidRPr="008A5CBD">
              <w:rPr>
                <w:rFonts w:ascii="Georgia" w:hAnsi="Georgia"/>
                <w:b/>
                <w:color w:val="002060"/>
                <w:sz w:val="21"/>
                <w:szCs w:val="21"/>
              </w:rPr>
              <w:t>milioni</w:t>
            </w:r>
            <w:r w:rsidRPr="008A5CBD">
              <w:rPr>
                <w:rFonts w:ascii="Georgia" w:hAnsi="Georgia"/>
                <w:color w:val="002060"/>
                <w:sz w:val="21"/>
                <w:szCs w:val="21"/>
              </w:rPr>
              <w:t xml:space="preserve"> (</w:t>
            </w:r>
            <w:r w:rsidRPr="008A5CBD">
              <w:rPr>
                <w:rFonts w:ascii="Georgia" w:hAnsi="Georgia"/>
                <w:b/>
                <w:color w:val="002060"/>
                <w:sz w:val="21"/>
                <w:szCs w:val="21"/>
              </w:rPr>
              <w:t xml:space="preserve">-37,4% </w:t>
            </w:r>
            <w:r w:rsidRPr="008A5CBD">
              <w:rPr>
                <w:rFonts w:ascii="Georgia" w:hAnsi="Georgia"/>
                <w:color w:val="002060"/>
                <w:sz w:val="21"/>
                <w:szCs w:val="21"/>
              </w:rPr>
              <w:t>su gennaio 2018)</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 xml:space="preserve">CIGO: 16,5 milioni (-8,8%) </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CIGS: 22,7 milioni (-42%)</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CIGD: 1,2 milioni (-83,7%)</w:t>
            </w:r>
          </w:p>
          <w:p w:rsidR="008A5CBD" w:rsidRPr="008A5CBD" w:rsidRDefault="008A5CBD" w:rsidP="008A5CBD">
            <w:pPr>
              <w:jc w:val="both"/>
              <w:rPr>
                <w:rFonts w:ascii="Georgia" w:hAnsi="Georgia"/>
                <w:color w:val="002060"/>
                <w:sz w:val="21"/>
                <w:szCs w:val="21"/>
              </w:rPr>
            </w:pP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u w:val="single"/>
              </w:rPr>
              <w:t>Stima UIL</w:t>
            </w:r>
            <w:r w:rsidRPr="008A5CBD">
              <w:rPr>
                <w:rFonts w:ascii="Georgia" w:hAnsi="Georgia"/>
                <w:color w:val="002060"/>
                <w:sz w:val="21"/>
                <w:szCs w:val="21"/>
              </w:rPr>
              <w:t xml:space="preserve"> posti lavoro salvaguardati nel I bimestre 2018: </w:t>
            </w:r>
            <w:r w:rsidRPr="008A5CBD">
              <w:rPr>
                <w:rFonts w:ascii="Georgia" w:hAnsi="Georgia"/>
                <w:b/>
                <w:color w:val="002060"/>
                <w:sz w:val="21"/>
                <w:szCs w:val="21"/>
              </w:rPr>
              <w:t>119</w:t>
            </w:r>
            <w:r w:rsidRPr="008A5CBD">
              <w:rPr>
                <w:rFonts w:ascii="Georgia" w:hAnsi="Georgia"/>
                <w:color w:val="002060"/>
                <w:sz w:val="21"/>
                <w:szCs w:val="21"/>
              </w:rPr>
              <w:t xml:space="preserve"> </w:t>
            </w:r>
            <w:r w:rsidRPr="008A5CBD">
              <w:rPr>
                <w:rFonts w:ascii="Georgia" w:hAnsi="Georgia"/>
                <w:b/>
                <w:color w:val="002060"/>
                <w:sz w:val="21"/>
                <w:szCs w:val="21"/>
              </w:rPr>
              <w:t>mila</w:t>
            </w:r>
          </w:p>
          <w:p w:rsidR="008A5CBD" w:rsidRPr="008A5CBD" w:rsidRDefault="008A5CBD" w:rsidP="008A5CBD">
            <w:pPr>
              <w:jc w:val="both"/>
              <w:rPr>
                <w:rFonts w:ascii="Georgia" w:hAnsi="Georgia"/>
                <w:color w:val="002060"/>
                <w:sz w:val="21"/>
                <w:szCs w:val="21"/>
              </w:rPr>
            </w:pPr>
          </w:p>
          <w:p w:rsidR="008A5CBD" w:rsidRPr="008A5CBD" w:rsidRDefault="008A5CBD" w:rsidP="008A5CBD">
            <w:pPr>
              <w:jc w:val="both"/>
              <w:rPr>
                <w:rFonts w:ascii="Georgia" w:hAnsi="Georgia"/>
                <w:color w:val="002060"/>
                <w:sz w:val="21"/>
                <w:szCs w:val="21"/>
                <w:u w:val="single"/>
              </w:rPr>
            </w:pPr>
            <w:r w:rsidRPr="008A5CBD">
              <w:rPr>
                <w:rFonts w:ascii="Georgia" w:hAnsi="Georgia"/>
                <w:color w:val="002060"/>
                <w:sz w:val="21"/>
                <w:szCs w:val="21"/>
                <w:u w:val="single"/>
              </w:rPr>
              <w:t>Dati per macro area:</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 xml:space="preserve">NORD:  20,2 milioni (-37,1%) </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CENTRO: 8,9 milioni (-44%)</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MEZZOGIORNO: 11,4 milioni (-31,9%)</w:t>
            </w:r>
          </w:p>
          <w:p w:rsidR="008A5CBD" w:rsidRPr="008A5CBD" w:rsidRDefault="008A5CBD" w:rsidP="008A5CBD">
            <w:pPr>
              <w:jc w:val="both"/>
              <w:rPr>
                <w:rFonts w:ascii="Georgia" w:hAnsi="Georgia"/>
                <w:color w:val="002060"/>
                <w:sz w:val="21"/>
                <w:szCs w:val="21"/>
              </w:rPr>
            </w:pPr>
          </w:p>
          <w:p w:rsidR="008A5CBD" w:rsidRPr="008A5CBD" w:rsidRDefault="008A5CBD" w:rsidP="008A5CBD">
            <w:pPr>
              <w:jc w:val="both"/>
              <w:rPr>
                <w:rFonts w:ascii="Georgia" w:hAnsi="Georgia"/>
                <w:color w:val="002060"/>
                <w:sz w:val="21"/>
                <w:szCs w:val="21"/>
                <w:u w:val="single"/>
              </w:rPr>
            </w:pPr>
            <w:r w:rsidRPr="008A5CBD">
              <w:rPr>
                <w:rFonts w:ascii="Georgia" w:hAnsi="Georgia"/>
                <w:color w:val="002060"/>
                <w:sz w:val="21"/>
                <w:szCs w:val="21"/>
                <w:u w:val="single"/>
              </w:rPr>
              <w:t>Dati regionali:</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Aumento in 4 Regioni e Prov. Aut. di Trento: Valle d’Aosta (+97,2%); Basilicata (+44,6%); Sardegna (+35,5%), Prov. Aut. di Trento (+12,9%) e Marche (+7,3%)</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Ultime 3 Regioni con maggiore flessione: Molise (-89,7%); Liguria (-68,7%); Toscana (-62,6%)</w:t>
            </w:r>
          </w:p>
          <w:p w:rsidR="008A5CBD" w:rsidRPr="008A5CBD" w:rsidRDefault="008A5CBD" w:rsidP="008A5CBD">
            <w:pPr>
              <w:jc w:val="both"/>
              <w:rPr>
                <w:rFonts w:ascii="Georgia" w:hAnsi="Georgia"/>
                <w:color w:val="002060"/>
                <w:sz w:val="21"/>
                <w:szCs w:val="21"/>
              </w:rPr>
            </w:pPr>
          </w:p>
          <w:p w:rsidR="008A5CBD" w:rsidRPr="008A5CBD" w:rsidRDefault="008A5CBD" w:rsidP="008A5CBD">
            <w:pPr>
              <w:jc w:val="both"/>
              <w:rPr>
                <w:rFonts w:ascii="Georgia" w:hAnsi="Georgia"/>
                <w:color w:val="002060"/>
                <w:sz w:val="21"/>
                <w:szCs w:val="21"/>
                <w:u w:val="single"/>
              </w:rPr>
            </w:pPr>
            <w:r w:rsidRPr="008A5CBD">
              <w:rPr>
                <w:rFonts w:ascii="Georgia" w:hAnsi="Georgia"/>
                <w:color w:val="002060"/>
                <w:sz w:val="21"/>
                <w:szCs w:val="21"/>
                <w:u w:val="single"/>
              </w:rPr>
              <w:t>Dati provinciali:</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Aumento in 33 Province</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Le prime 5 province di maggior crescita: Verbania (+667,2%), Varese (+580,5%), Brindisi (+168,7%), Napoli (+125,3%), Catania (+111,6%)</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Ultime 5 Province con maggiore riduzione: Campobasso (-94,6%), Lucca (-94,2%), Avellino (-93,9%), Savona (-90,8%) e Belluno (-87%).</w:t>
            </w:r>
          </w:p>
          <w:p w:rsidR="008A5CBD" w:rsidRPr="008A5CBD" w:rsidRDefault="008A5CBD" w:rsidP="008A5CBD">
            <w:pPr>
              <w:jc w:val="both"/>
              <w:rPr>
                <w:rFonts w:ascii="Georgia" w:hAnsi="Georgia"/>
                <w:color w:val="002060"/>
                <w:sz w:val="21"/>
                <w:szCs w:val="21"/>
              </w:rPr>
            </w:pP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u w:val="single"/>
              </w:rPr>
              <w:t>Settori produttivi</w:t>
            </w:r>
            <w:r w:rsidRPr="008A5CBD">
              <w:rPr>
                <w:rFonts w:ascii="Georgia" w:hAnsi="Georgia"/>
                <w:color w:val="002060"/>
                <w:sz w:val="21"/>
                <w:szCs w:val="21"/>
              </w:rPr>
              <w:t>:</w:t>
            </w:r>
          </w:p>
          <w:p w:rsidR="008A5CBD" w:rsidRPr="008A5CBD" w:rsidRDefault="008A5CBD" w:rsidP="008A5CBD">
            <w:pPr>
              <w:jc w:val="both"/>
              <w:rPr>
                <w:rFonts w:ascii="Georgia" w:hAnsi="Georgia"/>
                <w:color w:val="002060"/>
                <w:sz w:val="21"/>
                <w:szCs w:val="21"/>
              </w:rPr>
            </w:pPr>
            <w:r w:rsidRPr="008A5CBD">
              <w:rPr>
                <w:rFonts w:ascii="Georgia" w:hAnsi="Georgia"/>
                <w:color w:val="002060"/>
                <w:sz w:val="21"/>
                <w:szCs w:val="21"/>
              </w:rPr>
              <w:t>Settore con più alto numero di ore autorizzate è l’industria</w:t>
            </w:r>
            <w:r w:rsidRPr="008A5CBD">
              <w:rPr>
                <w:rFonts w:ascii="Georgia" w:hAnsi="Georgia"/>
                <w:b/>
                <w:color w:val="002060"/>
                <w:sz w:val="21"/>
                <w:szCs w:val="21"/>
              </w:rPr>
              <w:t xml:space="preserve"> </w:t>
            </w:r>
            <w:r w:rsidRPr="008A5CBD">
              <w:rPr>
                <w:rFonts w:ascii="Georgia" w:hAnsi="Georgia"/>
                <w:color w:val="002060"/>
                <w:sz w:val="21"/>
                <w:szCs w:val="21"/>
              </w:rPr>
              <w:t xml:space="preserve">con 27,4 milioni di ore (-44,3% rispetto al I bimestre 2017), seguita dal commercio con 7,7 milioni di ore (+9%), dall’edilizia con 5,3 milioni di ore (-5,5%) e dall’artigianato con 64 mila ore (-97,7%). </w:t>
            </w:r>
          </w:p>
          <w:p w:rsidR="008A5CBD" w:rsidRPr="008A5CBD" w:rsidRDefault="008A5CBD" w:rsidP="008A5CBD">
            <w:pPr>
              <w:jc w:val="both"/>
              <w:rPr>
                <w:rFonts w:ascii="Georgia" w:hAnsi="Georgia"/>
                <w:color w:val="002060"/>
                <w:sz w:val="21"/>
                <w:szCs w:val="21"/>
              </w:rPr>
            </w:pPr>
          </w:p>
        </w:tc>
      </w:tr>
    </w:tbl>
    <w:p w:rsidR="008A5CBD" w:rsidRDefault="008A5CBD" w:rsidP="00265EDC">
      <w:pPr>
        <w:rPr>
          <w:rFonts w:ascii="Calibri" w:hAnsi="Calibri"/>
          <w:b/>
          <w:bCs/>
          <w:color w:val="1F497D" w:themeColor="text2"/>
        </w:rPr>
      </w:pPr>
    </w:p>
    <w:p w:rsidR="004360F2" w:rsidRDefault="004360F2" w:rsidP="00265EDC">
      <w:pPr>
        <w:rPr>
          <w:rFonts w:ascii="Calibri" w:hAnsi="Calibri"/>
          <w:b/>
          <w:bCs/>
          <w:color w:val="1F497D" w:themeColor="text2"/>
        </w:rPr>
      </w:pPr>
    </w:p>
    <w:p w:rsidR="004360F2" w:rsidRDefault="004360F2" w:rsidP="00265EDC">
      <w:pPr>
        <w:rPr>
          <w:rFonts w:ascii="Calibri" w:hAnsi="Calibri"/>
          <w:b/>
          <w:bCs/>
          <w:color w:val="1F497D" w:themeColor="text2"/>
        </w:rPr>
      </w:pPr>
    </w:p>
    <w:p w:rsidR="004360F2" w:rsidRDefault="004360F2" w:rsidP="00265EDC">
      <w:pPr>
        <w:rPr>
          <w:rFonts w:ascii="Calibri" w:hAnsi="Calibri"/>
          <w:b/>
          <w:bCs/>
          <w:color w:val="1F497D" w:themeColor="text2"/>
        </w:rPr>
      </w:pPr>
    </w:p>
    <w:p w:rsidR="004360F2" w:rsidRDefault="004360F2" w:rsidP="00265EDC">
      <w:pPr>
        <w:rPr>
          <w:rFonts w:ascii="Calibri" w:hAnsi="Calibri"/>
          <w:b/>
          <w:bCs/>
          <w:color w:val="1F497D" w:themeColor="text2"/>
        </w:rPr>
      </w:pPr>
    </w:p>
    <w:p w:rsidR="008A5CBD" w:rsidRDefault="008A5CBD" w:rsidP="00265EDC">
      <w:pPr>
        <w:rPr>
          <w:rFonts w:ascii="Calibri" w:hAnsi="Calibri"/>
          <w:b/>
          <w:bCs/>
          <w:color w:val="1F497D" w:themeColor="text2"/>
        </w:rPr>
      </w:pPr>
    </w:p>
    <w:p w:rsidR="008A5CBD" w:rsidRDefault="008A5CBD" w:rsidP="00265EDC">
      <w:pPr>
        <w:rPr>
          <w:rFonts w:ascii="Calibri" w:hAnsi="Calibri"/>
          <w:b/>
          <w:bCs/>
          <w:color w:val="1F497D" w:themeColor="text2"/>
        </w:rPr>
      </w:pPr>
    </w:p>
    <w:p w:rsidR="008A5CBD" w:rsidRDefault="008A5CBD" w:rsidP="00265EDC">
      <w:pPr>
        <w:rPr>
          <w:rFonts w:ascii="Calibri" w:hAnsi="Calibri"/>
          <w:b/>
          <w:bCs/>
          <w:color w:val="1F497D" w:themeColor="text2"/>
        </w:rPr>
      </w:pPr>
    </w:p>
    <w:p w:rsidR="008A5CBD" w:rsidRDefault="008A5CBD" w:rsidP="00265EDC">
      <w:pPr>
        <w:rPr>
          <w:rFonts w:ascii="Calibri" w:hAnsi="Calibri"/>
          <w:b/>
          <w:bCs/>
          <w:color w:val="1F497D" w:themeColor="text2"/>
        </w:rPr>
      </w:pPr>
    </w:p>
    <w:p w:rsidR="008A5CBD" w:rsidRDefault="008A5CBD" w:rsidP="00265EDC">
      <w:pPr>
        <w:rPr>
          <w:rFonts w:ascii="Calibri" w:hAnsi="Calibri"/>
          <w:b/>
          <w:bCs/>
          <w:color w:val="1F497D" w:themeColor="text2"/>
        </w:rPr>
      </w:pPr>
    </w:p>
    <w:p w:rsidR="008A5CBD" w:rsidRDefault="008A5CBD" w:rsidP="00265EDC">
      <w:pPr>
        <w:rPr>
          <w:rFonts w:ascii="Calibri" w:hAnsi="Calibri"/>
          <w:b/>
          <w:bCs/>
          <w:color w:val="1F497D" w:themeColor="text2"/>
        </w:rPr>
      </w:pPr>
    </w:p>
    <w:p w:rsidR="008A5CBD" w:rsidRDefault="008A5CBD" w:rsidP="00265EDC">
      <w:pPr>
        <w:rPr>
          <w:rFonts w:ascii="Calibri" w:hAnsi="Calibri"/>
          <w:b/>
          <w:bCs/>
          <w:color w:val="1F497D" w:themeColor="text2"/>
        </w:rPr>
      </w:pPr>
    </w:p>
    <w:p w:rsidR="004360F2" w:rsidRDefault="008A5CBD" w:rsidP="008A5CBD">
      <w:pPr>
        <w:ind w:left="-709"/>
        <w:rPr>
          <w:rFonts w:ascii="Calibri" w:hAnsi="Calibri"/>
          <w:b/>
          <w:bCs/>
          <w:color w:val="1F497D" w:themeColor="text2"/>
        </w:rPr>
      </w:pPr>
      <w:r>
        <w:rPr>
          <w:noProof/>
        </w:rPr>
        <w:lastRenderedPageBreak/>
        <w:t xml:space="preserve">     </w:t>
      </w:r>
      <w:r>
        <w:rPr>
          <w:noProof/>
        </w:rPr>
        <w:drawing>
          <wp:inline distT="0" distB="0" distL="0" distR="0" wp14:anchorId="337BA9AC" wp14:editId="2A28FB49">
            <wp:extent cx="7030528" cy="3347049"/>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9873" t="41077" r="9450" b="25603"/>
                    <a:stretch/>
                  </pic:blipFill>
                  <pic:spPr bwMode="auto">
                    <a:xfrm>
                      <a:off x="0" y="0"/>
                      <a:ext cx="7035126" cy="3349238"/>
                    </a:xfrm>
                    <a:prstGeom prst="rect">
                      <a:avLst/>
                    </a:prstGeom>
                    <a:ln>
                      <a:noFill/>
                    </a:ln>
                    <a:extLst>
                      <a:ext uri="{53640926-AAD7-44D8-BBD7-CCE9431645EC}">
                        <a14:shadowObscured xmlns:a14="http://schemas.microsoft.com/office/drawing/2010/main"/>
                      </a:ext>
                    </a:extLst>
                  </pic:spPr>
                </pic:pic>
              </a:graphicData>
            </a:graphic>
          </wp:inline>
        </w:drawing>
      </w:r>
    </w:p>
    <w:p w:rsidR="004360F2" w:rsidRDefault="004360F2" w:rsidP="008A5CBD">
      <w:pPr>
        <w:jc w:val="center"/>
        <w:rPr>
          <w:rFonts w:ascii="Calibri" w:hAnsi="Calibri"/>
          <w:b/>
          <w:bCs/>
          <w:color w:val="1F497D" w:themeColor="text2"/>
        </w:rPr>
      </w:pPr>
    </w:p>
    <w:p w:rsidR="004360F2" w:rsidRDefault="004360F2" w:rsidP="008A5CBD">
      <w:pPr>
        <w:jc w:val="center"/>
        <w:rPr>
          <w:rFonts w:ascii="Calibri" w:hAnsi="Calibri"/>
          <w:b/>
          <w:bCs/>
          <w:color w:val="1F497D" w:themeColor="text2"/>
        </w:rPr>
      </w:pPr>
    </w:p>
    <w:p w:rsidR="004360F2" w:rsidRDefault="004360F2" w:rsidP="00265EDC">
      <w:pPr>
        <w:rPr>
          <w:rFonts w:ascii="Calibri" w:hAnsi="Calibri"/>
          <w:b/>
          <w:bCs/>
          <w:color w:val="1F497D" w:themeColor="text2"/>
        </w:rPr>
      </w:pPr>
    </w:p>
    <w:p w:rsidR="008A5CBD" w:rsidRPr="008A5CBD" w:rsidRDefault="008A5CBD" w:rsidP="008A5CBD">
      <w:pPr>
        <w:jc w:val="center"/>
        <w:rPr>
          <w:b/>
          <w:color w:val="FF0000"/>
          <w:sz w:val="20"/>
          <w:szCs w:val="20"/>
        </w:rPr>
      </w:pPr>
      <w:r w:rsidRPr="008A5CBD">
        <w:rPr>
          <w:b/>
          <w:color w:val="FF0000"/>
          <w:sz w:val="20"/>
          <w:szCs w:val="20"/>
        </w:rPr>
        <w:t>LE 10 PROVINCE CON IL MAGGIOR INCRMENTO DI CASSA INTEGRAZIONE</w:t>
      </w:r>
    </w:p>
    <w:p w:rsidR="008A5CBD" w:rsidRPr="008A5CBD" w:rsidRDefault="008A5CBD" w:rsidP="008A5CBD">
      <w:pPr>
        <w:jc w:val="center"/>
        <w:rPr>
          <w:b/>
          <w:color w:val="FF0000"/>
          <w:sz w:val="20"/>
          <w:szCs w:val="20"/>
        </w:rPr>
      </w:pPr>
      <w:r w:rsidRPr="008A5CBD">
        <w:rPr>
          <w:b/>
          <w:color w:val="FF0000"/>
          <w:sz w:val="20"/>
          <w:szCs w:val="20"/>
        </w:rPr>
        <w:t>Variazioni % I BIMESTRE 2017/2018</w:t>
      </w:r>
    </w:p>
    <w:p w:rsidR="008A5CBD" w:rsidRPr="008A5CBD" w:rsidRDefault="008A5CBD" w:rsidP="008A5CBD">
      <w:pPr>
        <w:ind w:left="-935" w:right="-662"/>
        <w:jc w:val="center"/>
        <w:outlineLvl w:val="0"/>
        <w:rPr>
          <w:b/>
          <w:color w:val="FF0000"/>
          <w:sz w:val="64"/>
          <w:szCs w:val="64"/>
        </w:rPr>
      </w:pPr>
      <w:r w:rsidRPr="008A5CBD">
        <w:rPr>
          <w:b/>
          <w:noProof/>
          <w:color w:val="FF0000"/>
          <w:sz w:val="64"/>
          <w:szCs w:val="64"/>
        </w:rPr>
        <w:drawing>
          <wp:inline distT="0" distB="0" distL="0" distR="0" wp14:anchorId="556222E4" wp14:editId="30E16F74">
            <wp:extent cx="5564038" cy="163901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7724" cy="1640105"/>
                    </a:xfrm>
                    <a:prstGeom prst="rect">
                      <a:avLst/>
                    </a:prstGeom>
                    <a:noFill/>
                  </pic:spPr>
                </pic:pic>
              </a:graphicData>
            </a:graphic>
          </wp:inline>
        </w:drawing>
      </w:r>
    </w:p>
    <w:p w:rsidR="008A5CBD" w:rsidRPr="008A5CBD" w:rsidRDefault="008A5CBD" w:rsidP="008A5CBD">
      <w:pPr>
        <w:jc w:val="center"/>
        <w:rPr>
          <w:i/>
          <w:color w:val="002060"/>
          <w:sz w:val="16"/>
          <w:szCs w:val="16"/>
        </w:rPr>
      </w:pPr>
      <w:r w:rsidRPr="008A5CBD">
        <w:rPr>
          <w:i/>
          <w:color w:val="002060"/>
          <w:sz w:val="16"/>
          <w:szCs w:val="16"/>
        </w:rPr>
        <w:t>Elaborazione UIL su fonte Inps</w:t>
      </w:r>
    </w:p>
    <w:p w:rsidR="008A5CBD" w:rsidRPr="008A5CBD" w:rsidRDefault="008A5CBD" w:rsidP="008A5CBD">
      <w:pPr>
        <w:jc w:val="center"/>
        <w:rPr>
          <w:b/>
          <w:color w:val="FF0000"/>
          <w:sz w:val="28"/>
          <w:szCs w:val="28"/>
        </w:rPr>
      </w:pPr>
    </w:p>
    <w:p w:rsidR="008A5CBD" w:rsidRPr="008A5CBD" w:rsidRDefault="008A5CBD" w:rsidP="008A5CBD">
      <w:pPr>
        <w:jc w:val="center"/>
        <w:rPr>
          <w:b/>
          <w:color w:val="FF0000"/>
          <w:sz w:val="28"/>
          <w:szCs w:val="28"/>
        </w:rPr>
      </w:pPr>
    </w:p>
    <w:p w:rsidR="008A5CBD" w:rsidRPr="008A5CBD" w:rsidRDefault="008A5CBD" w:rsidP="008A5CBD">
      <w:pPr>
        <w:jc w:val="center"/>
        <w:rPr>
          <w:b/>
          <w:color w:val="FF0000"/>
          <w:sz w:val="20"/>
          <w:szCs w:val="20"/>
        </w:rPr>
      </w:pPr>
      <w:r w:rsidRPr="008A5CBD">
        <w:rPr>
          <w:b/>
          <w:color w:val="FF0000"/>
          <w:sz w:val="20"/>
          <w:szCs w:val="20"/>
        </w:rPr>
        <w:t>LE PRIME 10 PROVINCE CON LA MAGGIORE DIMINUZIONE DI CASSA INTEGRAZIONE</w:t>
      </w:r>
    </w:p>
    <w:p w:rsidR="008A5CBD" w:rsidRPr="008A5CBD" w:rsidRDefault="008A5CBD" w:rsidP="008A5CBD">
      <w:pPr>
        <w:jc w:val="center"/>
        <w:rPr>
          <w:b/>
          <w:color w:val="000080"/>
          <w:sz w:val="20"/>
          <w:szCs w:val="20"/>
          <w:u w:val="single"/>
        </w:rPr>
      </w:pPr>
      <w:r w:rsidRPr="008A5CBD">
        <w:rPr>
          <w:b/>
          <w:color w:val="FF0000"/>
          <w:sz w:val="20"/>
          <w:szCs w:val="20"/>
        </w:rPr>
        <w:t>Variazioni % I BIMESTRE 2017/2018</w:t>
      </w:r>
    </w:p>
    <w:p w:rsidR="008A5CBD" w:rsidRPr="008A5CBD" w:rsidRDefault="008A5CBD" w:rsidP="008A5CBD">
      <w:pPr>
        <w:ind w:left="-935" w:right="-662"/>
        <w:jc w:val="center"/>
        <w:outlineLvl w:val="0"/>
        <w:rPr>
          <w:b/>
          <w:color w:val="FF0000"/>
          <w:sz w:val="64"/>
          <w:szCs w:val="64"/>
        </w:rPr>
      </w:pPr>
      <w:r w:rsidRPr="008A5CBD">
        <w:rPr>
          <w:b/>
          <w:noProof/>
          <w:color w:val="FF0000"/>
          <w:sz w:val="64"/>
          <w:szCs w:val="64"/>
        </w:rPr>
        <w:drawing>
          <wp:inline distT="0" distB="0" distL="0" distR="0" wp14:anchorId="537D7AD3" wp14:editId="0FDDC7A6">
            <wp:extent cx="5486400" cy="168215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3346" cy="1681215"/>
                    </a:xfrm>
                    <a:prstGeom prst="rect">
                      <a:avLst/>
                    </a:prstGeom>
                    <a:noFill/>
                  </pic:spPr>
                </pic:pic>
              </a:graphicData>
            </a:graphic>
          </wp:inline>
        </w:drawing>
      </w:r>
    </w:p>
    <w:p w:rsidR="008A5CBD" w:rsidRPr="008A5CBD" w:rsidRDefault="008A5CBD" w:rsidP="008A5CBD">
      <w:pPr>
        <w:jc w:val="center"/>
        <w:rPr>
          <w:i/>
          <w:color w:val="002060"/>
          <w:sz w:val="16"/>
          <w:szCs w:val="16"/>
        </w:rPr>
      </w:pPr>
      <w:r w:rsidRPr="008A5CBD">
        <w:rPr>
          <w:i/>
          <w:color w:val="002060"/>
          <w:sz w:val="16"/>
          <w:szCs w:val="16"/>
        </w:rPr>
        <w:t>Elaborazione UIL su fonte Inps</w:t>
      </w:r>
    </w:p>
    <w:p w:rsidR="00903CCE" w:rsidRDefault="00903CCE" w:rsidP="00C02BBE">
      <w:pPr>
        <w:ind w:left="-709"/>
        <w:rPr>
          <w:rFonts w:ascii="Georgia" w:hAnsi="Georgia"/>
          <w:b/>
          <w:bCs/>
          <w:color w:val="1F497D" w:themeColor="text2"/>
          <w:sz w:val="22"/>
          <w:szCs w:val="22"/>
        </w:rPr>
      </w:pPr>
    </w:p>
    <w:sectPr w:rsidR="00903CCE">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A3" w:rsidRDefault="00FF43A3" w:rsidP="00C02BBE">
      <w:r>
        <w:separator/>
      </w:r>
    </w:p>
  </w:endnote>
  <w:endnote w:type="continuationSeparator" w:id="0">
    <w:p w:rsidR="00FF43A3" w:rsidRDefault="00FF43A3" w:rsidP="00C0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464605"/>
      <w:docPartObj>
        <w:docPartGallery w:val="Page Numbers (Bottom of Page)"/>
        <w:docPartUnique/>
      </w:docPartObj>
    </w:sdtPr>
    <w:sdtEndPr/>
    <w:sdtContent>
      <w:p w:rsidR="00C02BBE" w:rsidRDefault="00C02BBE">
        <w:pPr>
          <w:pStyle w:val="Pidipagina"/>
          <w:jc w:val="right"/>
        </w:pPr>
        <w:r>
          <w:fldChar w:fldCharType="begin"/>
        </w:r>
        <w:r>
          <w:instrText>PAGE   \* MERGEFORMAT</w:instrText>
        </w:r>
        <w:r>
          <w:fldChar w:fldCharType="separate"/>
        </w:r>
        <w:r w:rsidR="0078055D">
          <w:rPr>
            <w:noProof/>
          </w:rPr>
          <w:t>1</w:t>
        </w:r>
        <w:r>
          <w:fldChar w:fldCharType="end"/>
        </w:r>
      </w:p>
    </w:sdtContent>
  </w:sdt>
  <w:p w:rsidR="00C02BBE" w:rsidRDefault="00C02B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A3" w:rsidRDefault="00FF43A3" w:rsidP="00C02BBE">
      <w:r>
        <w:separator/>
      </w:r>
    </w:p>
  </w:footnote>
  <w:footnote w:type="continuationSeparator" w:id="0">
    <w:p w:rsidR="00FF43A3" w:rsidRDefault="00FF43A3" w:rsidP="00C0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94"/>
    <w:rsid w:val="00002950"/>
    <w:rsid w:val="00003E1D"/>
    <w:rsid w:val="000951CE"/>
    <w:rsid w:val="00265EDC"/>
    <w:rsid w:val="00376194"/>
    <w:rsid w:val="00392737"/>
    <w:rsid w:val="003C6602"/>
    <w:rsid w:val="004360F2"/>
    <w:rsid w:val="005B3277"/>
    <w:rsid w:val="0068548B"/>
    <w:rsid w:val="007013E2"/>
    <w:rsid w:val="0078055D"/>
    <w:rsid w:val="007964EA"/>
    <w:rsid w:val="007B326B"/>
    <w:rsid w:val="008A0E03"/>
    <w:rsid w:val="008A5CBD"/>
    <w:rsid w:val="00903CCE"/>
    <w:rsid w:val="00917A95"/>
    <w:rsid w:val="009D428B"/>
    <w:rsid w:val="00A81172"/>
    <w:rsid w:val="00B00211"/>
    <w:rsid w:val="00C02BBE"/>
    <w:rsid w:val="00C90B2A"/>
    <w:rsid w:val="00EC4FA4"/>
    <w:rsid w:val="00F144B1"/>
    <w:rsid w:val="00FB1F49"/>
    <w:rsid w:val="00FF4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19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76194"/>
    <w:pPr>
      <w:spacing w:before="100" w:beforeAutospacing="1" w:after="100" w:afterAutospacing="1"/>
    </w:pPr>
  </w:style>
  <w:style w:type="table" w:styleId="Grigliatabella">
    <w:name w:val="Table Grid"/>
    <w:basedOn w:val="Tabellanormale"/>
    <w:uiPriority w:val="99"/>
    <w:rsid w:val="00F144B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65E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EDC"/>
    <w:rPr>
      <w:rFonts w:ascii="Tahoma" w:eastAsia="Times New Roman" w:hAnsi="Tahoma" w:cs="Tahoma"/>
      <w:sz w:val="16"/>
      <w:szCs w:val="16"/>
      <w:lang w:eastAsia="it-IT"/>
    </w:rPr>
  </w:style>
  <w:style w:type="table" w:customStyle="1" w:styleId="Grigliatabella1">
    <w:name w:val="Griglia tabella1"/>
    <w:basedOn w:val="Tabellanormale"/>
    <w:next w:val="Grigliatabella"/>
    <w:uiPriority w:val="99"/>
    <w:rsid w:val="0068548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02BBE"/>
    <w:pPr>
      <w:tabs>
        <w:tab w:val="center" w:pos="4819"/>
        <w:tab w:val="right" w:pos="9638"/>
      </w:tabs>
    </w:pPr>
  </w:style>
  <w:style w:type="character" w:customStyle="1" w:styleId="IntestazioneCarattere">
    <w:name w:val="Intestazione Carattere"/>
    <w:basedOn w:val="Carpredefinitoparagrafo"/>
    <w:link w:val="Intestazione"/>
    <w:uiPriority w:val="99"/>
    <w:rsid w:val="00C02BB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02BBE"/>
    <w:pPr>
      <w:tabs>
        <w:tab w:val="center" w:pos="4819"/>
        <w:tab w:val="right" w:pos="9638"/>
      </w:tabs>
    </w:pPr>
  </w:style>
  <w:style w:type="character" w:customStyle="1" w:styleId="PidipaginaCarattere">
    <w:name w:val="Piè di pagina Carattere"/>
    <w:basedOn w:val="Carpredefinitoparagrafo"/>
    <w:link w:val="Pidipagina"/>
    <w:uiPriority w:val="99"/>
    <w:rsid w:val="00C02BBE"/>
    <w:rPr>
      <w:rFonts w:ascii="Times New Roman" w:eastAsia="Times New Roman" w:hAnsi="Times New Roman" w:cs="Times New Roman"/>
      <w:sz w:val="24"/>
      <w:szCs w:val="24"/>
      <w:lang w:eastAsia="it-IT"/>
    </w:rPr>
  </w:style>
  <w:style w:type="table" w:customStyle="1" w:styleId="Grigliatabella2">
    <w:name w:val="Griglia tabella2"/>
    <w:basedOn w:val="Tabellanormale"/>
    <w:next w:val="Grigliatabella"/>
    <w:uiPriority w:val="99"/>
    <w:rsid w:val="008A5CB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19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76194"/>
    <w:pPr>
      <w:spacing w:before="100" w:beforeAutospacing="1" w:after="100" w:afterAutospacing="1"/>
    </w:pPr>
  </w:style>
  <w:style w:type="table" w:styleId="Grigliatabella">
    <w:name w:val="Table Grid"/>
    <w:basedOn w:val="Tabellanormale"/>
    <w:uiPriority w:val="99"/>
    <w:rsid w:val="00F144B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65E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EDC"/>
    <w:rPr>
      <w:rFonts w:ascii="Tahoma" w:eastAsia="Times New Roman" w:hAnsi="Tahoma" w:cs="Tahoma"/>
      <w:sz w:val="16"/>
      <w:szCs w:val="16"/>
      <w:lang w:eastAsia="it-IT"/>
    </w:rPr>
  </w:style>
  <w:style w:type="table" w:customStyle="1" w:styleId="Grigliatabella1">
    <w:name w:val="Griglia tabella1"/>
    <w:basedOn w:val="Tabellanormale"/>
    <w:next w:val="Grigliatabella"/>
    <w:uiPriority w:val="99"/>
    <w:rsid w:val="0068548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02BBE"/>
    <w:pPr>
      <w:tabs>
        <w:tab w:val="center" w:pos="4819"/>
        <w:tab w:val="right" w:pos="9638"/>
      </w:tabs>
    </w:pPr>
  </w:style>
  <w:style w:type="character" w:customStyle="1" w:styleId="IntestazioneCarattere">
    <w:name w:val="Intestazione Carattere"/>
    <w:basedOn w:val="Carpredefinitoparagrafo"/>
    <w:link w:val="Intestazione"/>
    <w:uiPriority w:val="99"/>
    <w:rsid w:val="00C02BB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02BBE"/>
    <w:pPr>
      <w:tabs>
        <w:tab w:val="center" w:pos="4819"/>
        <w:tab w:val="right" w:pos="9638"/>
      </w:tabs>
    </w:pPr>
  </w:style>
  <w:style w:type="character" w:customStyle="1" w:styleId="PidipaginaCarattere">
    <w:name w:val="Piè di pagina Carattere"/>
    <w:basedOn w:val="Carpredefinitoparagrafo"/>
    <w:link w:val="Pidipagina"/>
    <w:uiPriority w:val="99"/>
    <w:rsid w:val="00C02BBE"/>
    <w:rPr>
      <w:rFonts w:ascii="Times New Roman" w:eastAsia="Times New Roman" w:hAnsi="Times New Roman" w:cs="Times New Roman"/>
      <w:sz w:val="24"/>
      <w:szCs w:val="24"/>
      <w:lang w:eastAsia="it-IT"/>
    </w:rPr>
  </w:style>
  <w:style w:type="table" w:customStyle="1" w:styleId="Grigliatabella2">
    <w:name w:val="Griglia tabella2"/>
    <w:basedOn w:val="Tabellanormale"/>
    <w:next w:val="Grigliatabella"/>
    <w:uiPriority w:val="99"/>
    <w:rsid w:val="008A5CB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799</Words>
  <Characters>4558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Guglielmo Loy</dc:creator>
  <cp:lastModifiedBy>Antonella Pirastu</cp:lastModifiedBy>
  <cp:revision>16</cp:revision>
  <cp:lastPrinted>2017-11-29T12:27:00Z</cp:lastPrinted>
  <dcterms:created xsi:type="dcterms:W3CDTF">2017-11-29T12:17:00Z</dcterms:created>
  <dcterms:modified xsi:type="dcterms:W3CDTF">2018-04-06T10:01:00Z</dcterms:modified>
</cp:coreProperties>
</file>