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7FD3" w:rsidRDefault="000D7FD3" w:rsidP="000D7FD3">
      <w:pPr>
        <w:rPr>
          <w:rFonts w:ascii="Arial" w:hAnsi="Arial" w:cs="Arial"/>
          <w:color w:val="002060"/>
          <w:sz w:val="16"/>
          <w:szCs w:val="16"/>
        </w:rPr>
      </w:pPr>
      <w:r>
        <w:rPr>
          <w:noProof/>
          <w:lang w:eastAsia="it-IT"/>
        </w:rPr>
        <w:drawing>
          <wp:anchor distT="0" distB="0" distL="114300" distR="114300" simplePos="0" relativeHeight="251658240" behindDoc="0" locked="0" layoutInCell="1" allowOverlap="1" wp14:anchorId="07B938FF" wp14:editId="67CC3D8A">
            <wp:simplePos x="0" y="0"/>
            <wp:positionH relativeFrom="column">
              <wp:posOffset>-229489</wp:posOffset>
            </wp:positionH>
            <wp:positionV relativeFrom="paragraph">
              <wp:posOffset>-372491</wp:posOffset>
            </wp:positionV>
            <wp:extent cx="1485265" cy="1053465"/>
            <wp:effectExtent l="0" t="0" r="0" b="0"/>
            <wp:wrapNone/>
            <wp:docPr id="1" name="Immagine 1" descr="Logo_U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UI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265" cy="1053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D7FD3" w:rsidRDefault="000D7FD3" w:rsidP="000D7FD3">
      <w:pPr>
        <w:spacing w:after="0" w:line="240" w:lineRule="auto"/>
        <w:rPr>
          <w:rFonts w:ascii="Arial" w:hAnsi="Arial" w:cs="Arial"/>
          <w:color w:val="002060"/>
          <w:sz w:val="16"/>
          <w:szCs w:val="16"/>
        </w:rPr>
      </w:pPr>
    </w:p>
    <w:p w:rsidR="000D7FD3" w:rsidRDefault="000D7FD3" w:rsidP="000D7FD3">
      <w:pPr>
        <w:spacing w:after="0" w:line="240" w:lineRule="auto"/>
        <w:rPr>
          <w:rFonts w:ascii="Arial" w:hAnsi="Arial" w:cs="Arial"/>
          <w:b/>
          <w:color w:val="002060"/>
          <w:sz w:val="16"/>
          <w:szCs w:val="16"/>
        </w:rPr>
      </w:pPr>
    </w:p>
    <w:p w:rsidR="000D7FD3" w:rsidRDefault="000D7FD3" w:rsidP="000D7FD3">
      <w:pPr>
        <w:spacing w:after="0" w:line="240" w:lineRule="auto"/>
        <w:rPr>
          <w:rFonts w:ascii="Arial" w:hAnsi="Arial" w:cs="Arial"/>
          <w:b/>
          <w:color w:val="002060"/>
          <w:sz w:val="16"/>
          <w:szCs w:val="16"/>
        </w:rPr>
      </w:pPr>
    </w:p>
    <w:p w:rsidR="000D7FD3" w:rsidRPr="000D7FD3" w:rsidRDefault="000D7FD3" w:rsidP="000D7FD3">
      <w:pPr>
        <w:spacing w:after="0" w:line="240" w:lineRule="auto"/>
        <w:rPr>
          <w:b/>
          <w:i/>
          <w:color w:val="365F91" w:themeColor="accent1" w:themeShade="BF"/>
        </w:rPr>
      </w:pPr>
      <w:r w:rsidRPr="000D7FD3">
        <w:rPr>
          <w:rFonts w:ascii="Arial" w:hAnsi="Arial" w:cs="Arial"/>
          <w:b/>
          <w:i/>
          <w:color w:val="365F91" w:themeColor="accent1" w:themeShade="BF"/>
          <w:sz w:val="16"/>
          <w:szCs w:val="16"/>
        </w:rPr>
        <w:t>Servizio Politiche Attive e Passive del Lavoro</w:t>
      </w:r>
    </w:p>
    <w:p w:rsidR="000D7FD3" w:rsidRDefault="000D7FD3" w:rsidP="000D7FD3">
      <w:pPr>
        <w:jc w:val="center"/>
        <w:rPr>
          <w:b/>
        </w:rPr>
      </w:pPr>
    </w:p>
    <w:p w:rsidR="000E1540" w:rsidRDefault="000E1540" w:rsidP="000D7FD3">
      <w:pPr>
        <w:jc w:val="center"/>
        <w:rPr>
          <w:rFonts w:ascii="Centaur" w:hAnsi="Centaur"/>
          <w:outline/>
          <w:color w:val="4F81BD" w:themeColor="accent1"/>
          <w:sz w:val="28"/>
          <w:szCs w:val="28"/>
          <w14:shadow w14:blurRad="114300" w14:dist="0" w14:dir="0" w14:sx="0" w14:sy="0" w14:kx="0" w14:ky="0" w14:algn="none">
            <w14:srgbClr w14:val="000000"/>
          </w14:shadow>
          <w14:textOutline w14:w="5080" w14:cap="flat" w14:cmpd="sng" w14:algn="ctr">
            <w14:solidFill>
              <w14:schemeClr w14:val="accent1"/>
            </w14:solidFill>
            <w14:prstDash w14:val="solid"/>
            <w14:round/>
          </w14:textOutline>
          <w14:textFill>
            <w14:solidFill>
              <w14:srgbClr w14:val="FFFFFF"/>
            </w14:solidFill>
          </w14:textFill>
        </w:rPr>
      </w:pPr>
    </w:p>
    <w:p w:rsidR="003023FB" w:rsidRPr="003023FB" w:rsidRDefault="00562B2C" w:rsidP="000D7FD3">
      <w:pPr>
        <w:jc w:val="center"/>
        <w:rPr>
          <w:rFonts w:ascii="Centaur" w:hAnsi="Centaur"/>
          <w:outline/>
          <w:color w:val="4F81BD" w:themeColor="accent1"/>
          <w:sz w:val="28"/>
          <w:szCs w:val="28"/>
          <w14:shadow w14:blurRad="114300" w14:dist="0" w14:dir="0" w14:sx="0" w14:sy="0" w14:kx="0" w14:ky="0" w14:algn="none">
            <w14:srgbClr w14:val="000000"/>
          </w14:shadow>
          <w14:textOutline w14:w="5080" w14:cap="flat" w14:cmpd="sng" w14:algn="ctr">
            <w14:solidFill>
              <w14:schemeClr w14:val="accent1"/>
            </w14:solidFill>
            <w14:prstDash w14:val="solid"/>
            <w14:round/>
          </w14:textOutline>
          <w14:textFill>
            <w14:solidFill>
              <w14:srgbClr w14:val="FFFFFF"/>
            </w14:solidFill>
          </w14:textFill>
        </w:rPr>
      </w:pPr>
      <w:r w:rsidRPr="003023FB">
        <w:rPr>
          <w:rFonts w:ascii="Centaur" w:hAnsi="Centaur"/>
          <w:outline/>
          <w:color w:val="4F81BD" w:themeColor="accent1"/>
          <w:sz w:val="28"/>
          <w:szCs w:val="28"/>
          <w14:shadow w14:blurRad="114300" w14:dist="0" w14:dir="0" w14:sx="0" w14:sy="0" w14:kx="0" w14:ky="0" w14:algn="none">
            <w14:srgbClr w14:val="000000"/>
          </w14:shadow>
          <w14:textOutline w14:w="5080" w14:cap="flat" w14:cmpd="sng" w14:algn="ctr">
            <w14:solidFill>
              <w14:schemeClr w14:val="accent1"/>
            </w14:solidFill>
            <w14:prstDash w14:val="solid"/>
            <w14:round/>
          </w14:textOutline>
          <w14:textFill>
            <w14:solidFill>
              <w14:srgbClr w14:val="FFFFFF"/>
            </w14:solidFill>
          </w14:textFill>
        </w:rPr>
        <w:t xml:space="preserve">PRIME </w:t>
      </w:r>
      <w:r w:rsidR="000D7FD3" w:rsidRPr="003023FB">
        <w:rPr>
          <w:rFonts w:ascii="Centaur" w:hAnsi="Centaur"/>
          <w:outline/>
          <w:color w:val="4F81BD" w:themeColor="accent1"/>
          <w:sz w:val="28"/>
          <w:szCs w:val="28"/>
          <w14:shadow w14:blurRad="114300" w14:dist="0" w14:dir="0" w14:sx="0" w14:sy="0" w14:kx="0" w14:ky="0" w14:algn="none">
            <w14:srgbClr w14:val="000000"/>
          </w14:shadow>
          <w14:textOutline w14:w="5080" w14:cap="flat" w14:cmpd="sng" w14:algn="ctr">
            <w14:solidFill>
              <w14:schemeClr w14:val="accent1"/>
            </w14:solidFill>
            <w14:prstDash w14:val="solid"/>
            <w14:round/>
          </w14:textOutline>
          <w14:textFill>
            <w14:solidFill>
              <w14:srgbClr w14:val="FFFFFF"/>
            </w14:solidFill>
          </w14:textFill>
        </w:rPr>
        <w:t xml:space="preserve">OSSERVAZIONI UIL AL “PACCHETTO LAVORO” </w:t>
      </w:r>
    </w:p>
    <w:p w:rsidR="00337B2E" w:rsidRPr="003023FB" w:rsidRDefault="000D7FD3" w:rsidP="000D7FD3">
      <w:pPr>
        <w:jc w:val="center"/>
        <w:rPr>
          <w:rFonts w:ascii="Centaur" w:hAnsi="Centaur"/>
          <w:outline/>
          <w:color w:val="4F81BD" w:themeColor="accent1"/>
          <w:sz w:val="28"/>
          <w:szCs w:val="28"/>
          <w14:shadow w14:blurRad="114300" w14:dist="0" w14:dir="0" w14:sx="0" w14:sy="0" w14:kx="0" w14:ky="0" w14:algn="none">
            <w14:srgbClr w14:val="000000"/>
          </w14:shadow>
          <w14:textOutline w14:w="5080" w14:cap="flat" w14:cmpd="sng" w14:algn="ctr">
            <w14:solidFill>
              <w14:schemeClr w14:val="accent1"/>
            </w14:solidFill>
            <w14:prstDash w14:val="solid"/>
            <w14:round/>
          </w14:textOutline>
          <w14:textFill>
            <w14:solidFill>
              <w14:srgbClr w14:val="FFFFFF"/>
            </w14:solidFill>
          </w14:textFill>
        </w:rPr>
      </w:pPr>
      <w:r w:rsidRPr="003023FB">
        <w:rPr>
          <w:rFonts w:ascii="Centaur" w:hAnsi="Centaur"/>
          <w:outline/>
          <w:color w:val="4F81BD" w:themeColor="accent1"/>
          <w:sz w:val="28"/>
          <w:szCs w:val="28"/>
          <w14:shadow w14:blurRad="114300" w14:dist="0" w14:dir="0" w14:sx="0" w14:sy="0" w14:kx="0" w14:ky="0" w14:algn="none">
            <w14:srgbClr w14:val="000000"/>
          </w14:shadow>
          <w14:textOutline w14:w="5080" w14:cap="flat" w14:cmpd="sng" w14:algn="ctr">
            <w14:solidFill>
              <w14:schemeClr w14:val="accent1"/>
            </w14:solidFill>
            <w14:prstDash w14:val="solid"/>
            <w14:round/>
          </w14:textOutline>
          <w14:textFill>
            <w14:solidFill>
              <w14:srgbClr w14:val="FFFFFF"/>
            </w14:solidFill>
          </w14:textFill>
        </w:rPr>
        <w:t xml:space="preserve">DEL </w:t>
      </w:r>
      <w:r w:rsidRPr="003023FB">
        <w:rPr>
          <w:rFonts w:ascii="Centaur" w:hAnsi="Centaur"/>
          <w:b/>
          <w:outline/>
          <w:color w:val="4F81BD" w:themeColor="accent1"/>
          <w:sz w:val="28"/>
          <w:szCs w:val="28"/>
          <w14:shadow w14:blurRad="114300" w14:dist="0" w14:dir="0" w14:sx="0" w14:sy="0" w14:kx="0" w14:ky="0" w14:algn="none">
            <w14:srgbClr w14:val="000000"/>
          </w14:shadow>
          <w14:textOutline w14:w="5080" w14:cap="flat" w14:cmpd="sng" w14:algn="ctr">
            <w14:solidFill>
              <w14:schemeClr w14:val="accent1"/>
            </w14:solidFill>
            <w14:prstDash w14:val="solid"/>
            <w14:round/>
          </w14:textOutline>
          <w14:textFill>
            <w14:solidFill>
              <w14:srgbClr w14:val="FFFFFF"/>
            </w14:solidFill>
          </w14:textFill>
        </w:rPr>
        <w:t>DECRETO DIGNITA’</w:t>
      </w:r>
      <w:r w:rsidR="002F77BA">
        <w:rPr>
          <w:rFonts w:ascii="Centaur" w:hAnsi="Centaur"/>
          <w:b/>
          <w:outline/>
          <w:color w:val="4F81BD" w:themeColor="accent1"/>
          <w:sz w:val="28"/>
          <w:szCs w:val="28"/>
          <w14:shadow w14:blurRad="114300" w14:dist="0" w14:dir="0" w14:sx="0" w14:sy="0" w14:kx="0" w14:ky="0" w14:algn="none">
            <w14:srgbClr w14:val="000000"/>
          </w14:shadow>
          <w14:textOutline w14:w="5080" w14:cap="flat" w14:cmpd="sng" w14:algn="ctr">
            <w14:solidFill>
              <w14:schemeClr w14:val="accent1"/>
            </w14:solidFill>
            <w14:prstDash w14:val="solid"/>
            <w14:round/>
          </w14:textOutline>
          <w14:textFill>
            <w14:solidFill>
              <w14:srgbClr w14:val="FFFFFF"/>
            </w14:solidFill>
          </w14:textFill>
        </w:rPr>
        <w:t xml:space="preserve"> (D.L. 87/2018)</w:t>
      </w:r>
    </w:p>
    <w:p w:rsidR="000D7FD3" w:rsidRDefault="00856245" w:rsidP="00E276CA">
      <w:pPr>
        <w:jc w:val="center"/>
        <w:rPr>
          <w:rFonts w:ascii="Centaur" w:hAnsi="Centaur"/>
          <w:outline/>
          <w:color w:val="4F81BD" w:themeColor="accent1"/>
          <w:sz w:val="24"/>
          <w:szCs w:val="24"/>
          <w14:shadow w14:blurRad="63500" w14:dist="50800" w14:dir="13500000" w14:sx="0" w14:sy="0" w14:kx="0" w14:ky="0" w14:algn="none">
            <w14:srgbClr w14:val="000000">
              <w14:alpha w14:val="50000"/>
            </w14:srgbClr>
          </w14:shadow>
          <w14:textOutline w14:w="5080" w14:cap="flat" w14:cmpd="sng" w14:algn="ctr">
            <w14:solidFill>
              <w14:schemeClr w14:val="accent1"/>
            </w14:solidFill>
            <w14:prstDash w14:val="solid"/>
            <w14:round/>
          </w14:textOutline>
          <w14:textFill>
            <w14:solidFill>
              <w14:srgbClr w14:val="FFFFFF"/>
            </w14:solidFill>
          </w14:textFill>
        </w:rPr>
      </w:pPr>
      <w:r>
        <w:rPr>
          <w:rFonts w:ascii="Centaur" w:hAnsi="Centaur"/>
          <w:outline/>
          <w:color w:val="4F81BD" w:themeColor="accent1"/>
          <w:sz w:val="24"/>
          <w:szCs w:val="24"/>
          <w14:shadow w14:blurRad="63500" w14:dist="50800" w14:dir="13500000" w14:sx="0" w14:sy="0" w14:kx="0" w14:ky="0" w14:algn="none">
            <w14:srgbClr w14:val="000000">
              <w14:alpha w14:val="50000"/>
            </w14:srgbClr>
          </w14:shadow>
          <w14:textOutline w14:w="5080" w14:cap="flat" w14:cmpd="sng" w14:algn="ctr">
            <w14:solidFill>
              <w14:schemeClr w14:val="accent1"/>
            </w14:solidFill>
            <w14:prstDash w14:val="solid"/>
            <w14:round/>
          </w14:textOutline>
          <w14:textFill>
            <w14:solidFill>
              <w14:srgbClr w14:val="FFFFFF"/>
            </w14:solidFill>
          </w14:textFill>
        </w:rPr>
        <w:t xml:space="preserve">16 </w:t>
      </w:r>
      <w:bookmarkStart w:id="0" w:name="_GoBack"/>
      <w:bookmarkEnd w:id="0"/>
      <w:r w:rsidR="00E276CA">
        <w:rPr>
          <w:rFonts w:ascii="Centaur" w:hAnsi="Centaur"/>
          <w:outline/>
          <w:color w:val="4F81BD" w:themeColor="accent1"/>
          <w:sz w:val="24"/>
          <w:szCs w:val="24"/>
          <w14:shadow w14:blurRad="63500" w14:dist="50800" w14:dir="13500000" w14:sx="0" w14:sy="0" w14:kx="0" w14:ky="0" w14:algn="none">
            <w14:srgbClr w14:val="000000">
              <w14:alpha w14:val="50000"/>
            </w14:srgbClr>
          </w14:shadow>
          <w14:textOutline w14:w="5080" w14:cap="flat" w14:cmpd="sng" w14:algn="ctr">
            <w14:solidFill>
              <w14:schemeClr w14:val="accent1"/>
            </w14:solidFill>
            <w14:prstDash w14:val="solid"/>
            <w14:round/>
          </w14:textOutline>
          <w14:textFill>
            <w14:solidFill>
              <w14:srgbClr w14:val="FFFFFF"/>
            </w14:solidFill>
          </w14:textFill>
        </w:rPr>
        <w:t>Luglio 2018</w:t>
      </w:r>
    </w:p>
    <w:p w:rsidR="000E1540" w:rsidRDefault="000E1540" w:rsidP="00E573C8">
      <w:pPr>
        <w:spacing w:after="0" w:line="240" w:lineRule="auto"/>
        <w:jc w:val="both"/>
        <w:rPr>
          <w:rStyle w:val="Enfasidelicata"/>
        </w:rPr>
      </w:pPr>
    </w:p>
    <w:p w:rsidR="000E1540" w:rsidRDefault="000E1540" w:rsidP="00E573C8">
      <w:pPr>
        <w:spacing w:after="0" w:line="240" w:lineRule="auto"/>
        <w:jc w:val="both"/>
        <w:rPr>
          <w:rStyle w:val="Enfasidelicata"/>
        </w:rPr>
      </w:pPr>
    </w:p>
    <w:p w:rsidR="000E1540" w:rsidRDefault="000E1540" w:rsidP="00E573C8">
      <w:pPr>
        <w:spacing w:after="0" w:line="240" w:lineRule="auto"/>
        <w:jc w:val="both"/>
        <w:rPr>
          <w:rStyle w:val="Enfasidelicata"/>
        </w:rPr>
      </w:pPr>
    </w:p>
    <w:p w:rsidR="002F196F" w:rsidRDefault="00CF39F2" w:rsidP="00E573C8">
      <w:pPr>
        <w:spacing w:after="0" w:line="240" w:lineRule="auto"/>
        <w:jc w:val="both"/>
        <w:rPr>
          <w:rStyle w:val="Enfasidelicata"/>
        </w:rPr>
      </w:pPr>
      <w:r>
        <w:rPr>
          <w:rStyle w:val="Enfasidelicata"/>
        </w:rPr>
        <w:t xml:space="preserve">Il </w:t>
      </w:r>
      <w:r w:rsidR="002F196F">
        <w:rPr>
          <w:rStyle w:val="Enfasidelicata"/>
        </w:rPr>
        <w:t>“</w:t>
      </w:r>
      <w:r>
        <w:rPr>
          <w:rStyle w:val="Enfasidelicata"/>
        </w:rPr>
        <w:t>Pacchetto Lavoro</w:t>
      </w:r>
      <w:r w:rsidR="002F196F">
        <w:rPr>
          <w:rStyle w:val="Enfasidelicata"/>
        </w:rPr>
        <w:t>”</w:t>
      </w:r>
      <w:r>
        <w:rPr>
          <w:rStyle w:val="Enfasidelicata"/>
        </w:rPr>
        <w:t xml:space="preserve"> contenuto nel Decreto Dignità</w:t>
      </w:r>
      <w:r w:rsidR="000F504B">
        <w:rPr>
          <w:rStyle w:val="Enfasidelicata"/>
        </w:rPr>
        <w:t xml:space="preserve"> (</w:t>
      </w:r>
      <w:r w:rsidR="000F504B" w:rsidRPr="000F504B">
        <w:rPr>
          <w:rStyle w:val="Enfasidelicata"/>
          <w:b/>
        </w:rPr>
        <w:t>Decreto Legge 87/2018</w:t>
      </w:r>
      <w:r w:rsidR="000F504B">
        <w:rPr>
          <w:rStyle w:val="Enfasidelicata"/>
        </w:rPr>
        <w:t xml:space="preserve"> entrato in vigore il 14 luglio u.s.)</w:t>
      </w:r>
      <w:r w:rsidR="00B545AF">
        <w:rPr>
          <w:rStyle w:val="Enfasidelicata"/>
        </w:rPr>
        <w:t xml:space="preserve">, </w:t>
      </w:r>
      <w:r w:rsidR="002F196F">
        <w:rPr>
          <w:rStyle w:val="Enfasidelicata"/>
        </w:rPr>
        <w:t>modifica alcuni istituti giuridici con la finalità, perseguita dal Governo, di contrastare la precarietà del mondo del lavoro.</w:t>
      </w:r>
    </w:p>
    <w:p w:rsidR="002F196F" w:rsidRDefault="002F196F" w:rsidP="00E573C8">
      <w:pPr>
        <w:spacing w:after="0" w:line="240" w:lineRule="auto"/>
        <w:jc w:val="both"/>
        <w:rPr>
          <w:rStyle w:val="Enfasidelicata"/>
        </w:rPr>
      </w:pPr>
      <w:r>
        <w:rPr>
          <w:rStyle w:val="Enfasidelicata"/>
        </w:rPr>
        <w:t>Gli istituti su cui si sono apportate novità sono: il contratto a tempo determinato, la somministrazione, l’indennità economica in caso di licenziamento illegittimo.</w:t>
      </w:r>
    </w:p>
    <w:p w:rsidR="00CF39F2" w:rsidRDefault="002F196F" w:rsidP="00E573C8">
      <w:pPr>
        <w:spacing w:after="0" w:line="240" w:lineRule="auto"/>
        <w:jc w:val="both"/>
        <w:rPr>
          <w:rStyle w:val="Enfasidelicata"/>
        </w:rPr>
      </w:pPr>
      <w:r>
        <w:rPr>
          <w:rStyle w:val="Enfasidelicata"/>
        </w:rPr>
        <w:t xml:space="preserve">Una nostra </w:t>
      </w:r>
      <w:r w:rsidR="00334EB8">
        <w:rPr>
          <w:rStyle w:val="Enfasidelicata"/>
        </w:rPr>
        <w:t xml:space="preserve">prima considerazione sul “Pacchetto Lavoro” </w:t>
      </w:r>
      <w:r w:rsidR="000D07FC">
        <w:rPr>
          <w:rStyle w:val="Enfasidelicata"/>
        </w:rPr>
        <w:t xml:space="preserve">è stata quella di vedere nelle modifiche </w:t>
      </w:r>
      <w:r w:rsidR="00B545AF">
        <w:rPr>
          <w:rStyle w:val="Enfasidelicata"/>
        </w:rPr>
        <w:t>apportate</w:t>
      </w:r>
      <w:r w:rsidR="000D07FC">
        <w:rPr>
          <w:rStyle w:val="Enfasidelicata"/>
        </w:rPr>
        <w:t xml:space="preserve">, un primo passo verso un miglior “equilibrio” tra le due Parti del contratto di lavoro, alzando </w:t>
      </w:r>
      <w:r w:rsidR="00DF5DFA">
        <w:rPr>
          <w:rStyle w:val="Enfasidelicata"/>
        </w:rPr>
        <w:t xml:space="preserve">leggermente, </w:t>
      </w:r>
      <w:r w:rsidR="000D07FC">
        <w:rPr>
          <w:rStyle w:val="Enfasidelicata"/>
        </w:rPr>
        <w:t>rispetto al recente passato, l’asticella della certezza del diritto per la parte più debole del rapporto di lavoro: il dipendente.</w:t>
      </w:r>
      <w:r w:rsidR="00DF5DFA">
        <w:rPr>
          <w:rStyle w:val="Enfasidelicata"/>
        </w:rPr>
        <w:t xml:space="preserve"> </w:t>
      </w:r>
    </w:p>
    <w:p w:rsidR="00FB43CC" w:rsidRDefault="00C07BA1" w:rsidP="00E573C8">
      <w:pPr>
        <w:spacing w:after="0" w:line="240" w:lineRule="auto"/>
        <w:jc w:val="both"/>
        <w:rPr>
          <w:rStyle w:val="Enfasidelicata"/>
        </w:rPr>
      </w:pPr>
      <w:r>
        <w:rPr>
          <w:rStyle w:val="Enfasidelicata"/>
        </w:rPr>
        <w:t>Avremmo apprezzato un coinvolgimento delle Parti Sociali nella fase di costruzione d</w:t>
      </w:r>
      <w:r w:rsidR="00BF4B31">
        <w:rPr>
          <w:rStyle w:val="Enfasidelicata"/>
        </w:rPr>
        <w:t>el</w:t>
      </w:r>
      <w:r>
        <w:rPr>
          <w:rStyle w:val="Enfasidelicata"/>
        </w:rPr>
        <w:t xml:space="preserve"> percorso di modifica, per il semplice fatto che il mercato del lavoro è un coacervo di sfaccettuature ed esigenze settoriali non sempre omogeneizzabili in limiti, tetti, percentuali standardizzate da una legge nazionale</w:t>
      </w:r>
      <w:r w:rsidR="009F225E">
        <w:rPr>
          <w:rStyle w:val="Enfasidelicata"/>
        </w:rPr>
        <w:t>, come ha dimostrato il passato</w:t>
      </w:r>
      <w:r>
        <w:rPr>
          <w:rStyle w:val="Enfasidelicata"/>
        </w:rPr>
        <w:t xml:space="preserve">. </w:t>
      </w:r>
      <w:r w:rsidR="000E1540">
        <w:rPr>
          <w:rStyle w:val="Enfasidelicata"/>
        </w:rPr>
        <w:t xml:space="preserve">Troppe volte il legislatore si è anteposto, in maniera anche sostitutiva, all’autonomia collettiva, dettando regole </w:t>
      </w:r>
      <w:r w:rsidR="00BF4B31">
        <w:rPr>
          <w:rStyle w:val="Enfasidelicata"/>
        </w:rPr>
        <w:t xml:space="preserve">ed imponendo paletti </w:t>
      </w:r>
      <w:r w:rsidR="000E1540">
        <w:rPr>
          <w:rStyle w:val="Enfasidelicata"/>
        </w:rPr>
        <w:t>non sempre adeguat</w:t>
      </w:r>
      <w:r w:rsidR="00BF4B31">
        <w:rPr>
          <w:rStyle w:val="Enfasidelicata"/>
        </w:rPr>
        <w:t>i</w:t>
      </w:r>
      <w:r w:rsidR="000E1540">
        <w:rPr>
          <w:rStyle w:val="Enfasidelicata"/>
        </w:rPr>
        <w:t xml:space="preserve"> alle variegate esigenze dei molteplici settori produttivi su cui le norme andavano ad incidere. </w:t>
      </w:r>
      <w:r w:rsidR="0073799A">
        <w:rPr>
          <w:rStyle w:val="Enfasidelicata"/>
        </w:rPr>
        <w:t xml:space="preserve">Lo dimostra il continuo ed implacabile rimettere mano alla normativa lavoristica. </w:t>
      </w:r>
      <w:r w:rsidR="000E1540">
        <w:rPr>
          <w:rStyle w:val="Enfasidelicata"/>
        </w:rPr>
        <w:t xml:space="preserve">Crediamo che la </w:t>
      </w:r>
      <w:r w:rsidR="0073799A">
        <w:rPr>
          <w:rStyle w:val="Enfasidelicata"/>
        </w:rPr>
        <w:t>“</w:t>
      </w:r>
      <w:r w:rsidR="000E1540">
        <w:rPr>
          <w:rStyle w:val="Enfasidelicata"/>
        </w:rPr>
        <w:t>concertazione</w:t>
      </w:r>
      <w:r w:rsidR="0073799A">
        <w:rPr>
          <w:rStyle w:val="Enfasidelicata"/>
        </w:rPr>
        <w:t>”</w:t>
      </w:r>
      <w:r w:rsidR="000E1540">
        <w:rPr>
          <w:rStyle w:val="Enfasidelicata"/>
        </w:rPr>
        <w:t xml:space="preserve"> sia ancora una buona prassi da perseguire per il bene del nostro sistema produttivo ed occupazionale. </w:t>
      </w:r>
    </w:p>
    <w:p w:rsidR="00DF5DFA" w:rsidRDefault="00A370B0" w:rsidP="00E573C8">
      <w:pPr>
        <w:spacing w:after="0" w:line="240" w:lineRule="auto"/>
        <w:jc w:val="both"/>
        <w:rPr>
          <w:rStyle w:val="Enfasidelicata"/>
        </w:rPr>
      </w:pPr>
      <w:r>
        <w:rPr>
          <w:rStyle w:val="Enfasidelicata"/>
        </w:rPr>
        <w:t>Sarà nostra cura</w:t>
      </w:r>
      <w:r w:rsidR="00FF4468">
        <w:rPr>
          <w:rStyle w:val="Enfasidelicata"/>
        </w:rPr>
        <w:t>, quindi,</w:t>
      </w:r>
      <w:r>
        <w:rPr>
          <w:rStyle w:val="Enfasidelicata"/>
        </w:rPr>
        <w:t xml:space="preserve"> seguire l’excursus dell’iter di conversione con eventuali proposte di modifica da sottoporre alle due Camere.</w:t>
      </w:r>
    </w:p>
    <w:p w:rsidR="000D07FC" w:rsidRDefault="00A370B0" w:rsidP="00E573C8">
      <w:pPr>
        <w:spacing w:after="0" w:line="240" w:lineRule="auto"/>
        <w:jc w:val="both"/>
        <w:rPr>
          <w:rStyle w:val="Enfasidelicata"/>
        </w:rPr>
      </w:pPr>
      <w:r>
        <w:rPr>
          <w:rStyle w:val="Enfasidelicata"/>
        </w:rPr>
        <w:t>R</w:t>
      </w:r>
      <w:r w:rsidR="000D07FC">
        <w:rPr>
          <w:rStyle w:val="Enfasidelicata"/>
        </w:rPr>
        <w:t>iteniamo</w:t>
      </w:r>
      <w:r>
        <w:rPr>
          <w:rStyle w:val="Enfasidelicata"/>
        </w:rPr>
        <w:t>, inoltre,</w:t>
      </w:r>
      <w:r w:rsidR="000D07FC">
        <w:rPr>
          <w:rStyle w:val="Enfasidelicata"/>
        </w:rPr>
        <w:t xml:space="preserve"> che</w:t>
      </w:r>
      <w:r w:rsidR="00CB3DB6">
        <w:rPr>
          <w:rStyle w:val="Enfasidelicata"/>
        </w:rPr>
        <w:t xml:space="preserve"> le novità non saranno, da sole, sufficienti a scardinare quella cattiva flessibilità che prima di celarsi negli abusi ed usi distorti delle due tipologie contrattuali che si intendono correggere, si annidano in altre forme di lavoro non governate e non regolamentate dalla contrattazione collettiva</w:t>
      </w:r>
      <w:r w:rsidR="00DF5DFA">
        <w:rPr>
          <w:rStyle w:val="Enfasidelicata"/>
        </w:rPr>
        <w:t xml:space="preserve"> dove continua ad essere troppo labile il confine tra autonomia e subordinazione (lavori su e attraverso piattaforme digitali, collaborazioni) e tra istituti non contrattuali e contratti subordinati (come nel caso dei tirocini extracurriculari). Il tutto a scapito delle tutele e dei diritti della parte più debole del rapporto di lavoro.</w:t>
      </w:r>
    </w:p>
    <w:p w:rsidR="00D91564" w:rsidRDefault="00FF4468" w:rsidP="00E573C8">
      <w:pPr>
        <w:spacing w:after="0" w:line="240" w:lineRule="auto"/>
        <w:jc w:val="both"/>
        <w:rPr>
          <w:rStyle w:val="Enfasidelicata"/>
        </w:rPr>
      </w:pPr>
      <w:r>
        <w:rPr>
          <w:rStyle w:val="Enfasidelicata"/>
        </w:rPr>
        <w:t xml:space="preserve">Scoraggiare la precarietà sul lavoro si può ottenere con un mix di misure semplici ma efficaci: rendendo strutturale nel tempo la riduzione del costo del lavoro sui contratti a tempo </w:t>
      </w:r>
      <w:r w:rsidR="009F225E">
        <w:rPr>
          <w:rStyle w:val="Enfasidelicata"/>
        </w:rPr>
        <w:t>in</w:t>
      </w:r>
      <w:r>
        <w:rPr>
          <w:rStyle w:val="Enfasidelicata"/>
        </w:rPr>
        <w:t>determinato</w:t>
      </w:r>
      <w:r w:rsidR="00804123">
        <w:rPr>
          <w:rStyle w:val="Enfasidelicata"/>
        </w:rPr>
        <w:t>;</w:t>
      </w:r>
      <w:r>
        <w:rPr>
          <w:rStyle w:val="Enfasidelicata"/>
        </w:rPr>
        <w:t xml:space="preserve"> aumentando contestualmente il costo dei contratti a termin</w:t>
      </w:r>
      <w:r w:rsidR="00804123">
        <w:rPr>
          <w:rStyle w:val="Enfasidelicata"/>
        </w:rPr>
        <w:t>e (tutti) che</w:t>
      </w:r>
      <w:r>
        <w:rPr>
          <w:rStyle w:val="Enfasidelicata"/>
        </w:rPr>
        <w:t xml:space="preserve"> sarebbe buona cosa destinare nelle tasche dei lavoratori quale “compenso” per situazioni lavor</w:t>
      </w:r>
      <w:r w:rsidR="00BE1A5F">
        <w:rPr>
          <w:rStyle w:val="Enfasidelicata"/>
        </w:rPr>
        <w:t>ative discontinue e temporanee</w:t>
      </w:r>
      <w:r w:rsidR="00804123">
        <w:rPr>
          <w:rStyle w:val="Enfasidelicata"/>
        </w:rPr>
        <w:t xml:space="preserve"> (c</w:t>
      </w:r>
      <w:r w:rsidR="00BE1A5F">
        <w:rPr>
          <w:rStyle w:val="Enfasidelicata"/>
        </w:rPr>
        <w:t xml:space="preserve">reare un forte gap di costi tra contratti a termine e contratti standard, di </w:t>
      </w:r>
      <w:r w:rsidR="00B545AF">
        <w:rPr>
          <w:rStyle w:val="Enfasidelicata"/>
        </w:rPr>
        <w:t xml:space="preserve">per sé già sarebbe sufficiente </w:t>
      </w:r>
      <w:r w:rsidR="00BE1A5F">
        <w:rPr>
          <w:rStyle w:val="Enfasidelicata"/>
        </w:rPr>
        <w:t>a promuovere i contratti a tempo indeterminato</w:t>
      </w:r>
      <w:r w:rsidR="00804123">
        <w:rPr>
          <w:rStyle w:val="Enfasidelicata"/>
        </w:rPr>
        <w:t>); c</w:t>
      </w:r>
      <w:r w:rsidR="00BE1A5F">
        <w:rPr>
          <w:rStyle w:val="Enfasidelicata"/>
        </w:rPr>
        <w:t>’è inoltre la necessità di far finalmente funzionare il sistema dell’incontro domanda-offerta di lavoro attraverso una maggiore efficienza ed efficacia dei Servizi per l’</w:t>
      </w:r>
      <w:r w:rsidR="00D91564">
        <w:rPr>
          <w:rStyle w:val="Enfasidelicata"/>
        </w:rPr>
        <w:t>Impiego, garantendo fasi di transizione lavorativa meno incerte ed insicure</w:t>
      </w:r>
      <w:r w:rsidR="00A647DD">
        <w:rPr>
          <w:rStyle w:val="Enfasidelicata"/>
        </w:rPr>
        <w:t>; diventa sempre più indispensabile, inoltre, l’</w:t>
      </w:r>
      <w:r w:rsidR="00D91564">
        <w:rPr>
          <w:rStyle w:val="Enfasidelicata"/>
        </w:rPr>
        <w:t xml:space="preserve">ausilio che può </w:t>
      </w:r>
      <w:r w:rsidR="00D91564">
        <w:rPr>
          <w:rStyle w:val="Enfasidelicata"/>
        </w:rPr>
        <w:lastRenderedPageBreak/>
        <w:t xml:space="preserve">fornire la formazione </w:t>
      </w:r>
      <w:r w:rsidR="00804123">
        <w:rPr>
          <w:rStyle w:val="Enfasidelicata"/>
        </w:rPr>
        <w:t xml:space="preserve">attuata, anche, attraverso i Fondi Interprofessionali, </w:t>
      </w:r>
      <w:r w:rsidR="00A647DD">
        <w:rPr>
          <w:rStyle w:val="Enfasidelicata"/>
        </w:rPr>
        <w:t xml:space="preserve">una formazione </w:t>
      </w:r>
      <w:r w:rsidR="00D91564">
        <w:rPr>
          <w:rStyle w:val="Enfasidelicata"/>
        </w:rPr>
        <w:t xml:space="preserve">che dovrebbe essere menzionata tra i nuovi “diritti” del lavoratore. </w:t>
      </w:r>
    </w:p>
    <w:p w:rsidR="00FF4468" w:rsidRDefault="00FF4468" w:rsidP="00E573C8">
      <w:pPr>
        <w:spacing w:after="0" w:line="240" w:lineRule="auto"/>
        <w:jc w:val="both"/>
        <w:rPr>
          <w:rStyle w:val="Enfasidelicata"/>
        </w:rPr>
      </w:pPr>
      <w:r>
        <w:rPr>
          <w:rStyle w:val="Enfasidelicata"/>
        </w:rPr>
        <w:t xml:space="preserve"> </w:t>
      </w:r>
    </w:p>
    <w:p w:rsidR="00DF5DFA" w:rsidRDefault="00F639EB" w:rsidP="00E573C8">
      <w:pPr>
        <w:spacing w:after="0" w:line="240" w:lineRule="auto"/>
        <w:jc w:val="both"/>
        <w:rPr>
          <w:rStyle w:val="Enfasidelicata"/>
        </w:rPr>
      </w:pPr>
      <w:r>
        <w:rPr>
          <w:rStyle w:val="Enfasidelicata"/>
        </w:rPr>
        <w:t xml:space="preserve">Si analizzano, ora, </w:t>
      </w:r>
      <w:r w:rsidR="005877E5">
        <w:rPr>
          <w:rStyle w:val="Enfasidelicata"/>
        </w:rPr>
        <w:t xml:space="preserve">le novità </w:t>
      </w:r>
      <w:r w:rsidR="00D2265D">
        <w:rPr>
          <w:rStyle w:val="Enfasidelicata"/>
        </w:rPr>
        <w:t>del Pacchetto Lavoro</w:t>
      </w:r>
      <w:r w:rsidR="005877E5">
        <w:rPr>
          <w:rStyle w:val="Enfasidelicata"/>
        </w:rPr>
        <w:t xml:space="preserve"> contenute nel Decreto Dignità</w:t>
      </w:r>
      <w:r w:rsidR="00DF5DFA">
        <w:rPr>
          <w:rStyle w:val="Enfasidelicata"/>
        </w:rPr>
        <w:t>:</w:t>
      </w:r>
    </w:p>
    <w:p w:rsidR="000E1540" w:rsidRPr="000E1540" w:rsidRDefault="000E1540" w:rsidP="000E1540">
      <w:pPr>
        <w:pStyle w:val="Paragrafoelenco"/>
        <w:spacing w:after="0" w:line="240" w:lineRule="auto"/>
        <w:jc w:val="both"/>
        <w:rPr>
          <w:rStyle w:val="Enfasidelicata"/>
          <w:b/>
        </w:rPr>
      </w:pPr>
    </w:p>
    <w:p w:rsidR="00DF5DFA" w:rsidRPr="00312377" w:rsidRDefault="00DF5DFA" w:rsidP="00E573C8">
      <w:pPr>
        <w:pStyle w:val="Paragrafoelenco"/>
        <w:numPr>
          <w:ilvl w:val="0"/>
          <w:numId w:val="1"/>
        </w:numPr>
        <w:spacing w:after="0" w:line="240" w:lineRule="auto"/>
        <w:jc w:val="both"/>
        <w:rPr>
          <w:rStyle w:val="Enfasidelicata"/>
          <w:b/>
        </w:rPr>
      </w:pPr>
      <w:r w:rsidRPr="00DF0224">
        <w:rPr>
          <w:rStyle w:val="Enfasidelicata"/>
          <w:b/>
          <w:color w:val="002060"/>
        </w:rPr>
        <w:t>CONTRATTO A TEMPO DETERMINATO</w:t>
      </w:r>
      <w:r w:rsidRPr="00312377">
        <w:rPr>
          <w:rStyle w:val="Enfasidelicata"/>
          <w:b/>
        </w:rPr>
        <w:t xml:space="preserve">. </w:t>
      </w:r>
    </w:p>
    <w:p w:rsidR="00CF39F2" w:rsidRDefault="00CF39F2" w:rsidP="00E573C8">
      <w:pPr>
        <w:spacing w:after="0" w:line="240" w:lineRule="auto"/>
        <w:jc w:val="both"/>
        <w:rPr>
          <w:rStyle w:val="Enfasidelicata"/>
        </w:rPr>
      </w:pPr>
      <w:r w:rsidRPr="00CF39F2">
        <w:rPr>
          <w:rStyle w:val="Enfasidelicata"/>
        </w:rPr>
        <w:t>Con una longevità che dura da più di 50 anni, il contratto a tempo determinato è, forse, tra tutte le tipologie contrattuali quella che ha subito i maggiori interventi legislativi</w:t>
      </w:r>
      <w:r w:rsidR="00B545AF">
        <w:rPr>
          <w:rStyle w:val="Enfasidelicata"/>
        </w:rPr>
        <w:t xml:space="preserve"> di modifica.</w:t>
      </w:r>
    </w:p>
    <w:p w:rsidR="008444DD" w:rsidRDefault="00D30CA8" w:rsidP="00E573C8">
      <w:pPr>
        <w:spacing w:after="0" w:line="240" w:lineRule="auto"/>
        <w:jc w:val="both"/>
        <w:rPr>
          <w:rStyle w:val="Enfasidelicata"/>
        </w:rPr>
      </w:pPr>
      <w:r>
        <w:rPr>
          <w:rStyle w:val="Enfasidelicata"/>
        </w:rPr>
        <w:t>La prima legge sul te</w:t>
      </w:r>
      <w:r w:rsidR="008444DD">
        <w:rPr>
          <w:rStyle w:val="Enfasidelicata"/>
        </w:rPr>
        <w:t xml:space="preserve">mpo determinato risale al 1962, quando le uniche tipologie contrattuali </w:t>
      </w:r>
      <w:r w:rsidR="00F639EB">
        <w:rPr>
          <w:rStyle w:val="Enfasidelicata"/>
        </w:rPr>
        <w:t xml:space="preserve">di natura subordinata </w:t>
      </w:r>
      <w:r w:rsidR="008444DD">
        <w:rPr>
          <w:rStyle w:val="Enfasidelicata"/>
        </w:rPr>
        <w:t xml:space="preserve">esistenti erano il </w:t>
      </w:r>
      <w:r w:rsidR="001165A8">
        <w:rPr>
          <w:rStyle w:val="Enfasidelicata"/>
        </w:rPr>
        <w:t>contratto di formazione e lavoro</w:t>
      </w:r>
      <w:r w:rsidR="008444DD">
        <w:rPr>
          <w:rStyle w:val="Enfasidelicata"/>
        </w:rPr>
        <w:t xml:space="preserve"> ed</w:t>
      </w:r>
      <w:r w:rsidR="001165A8">
        <w:rPr>
          <w:rStyle w:val="Enfasidelicata"/>
        </w:rPr>
        <w:t xml:space="preserve"> </w:t>
      </w:r>
      <w:r>
        <w:rPr>
          <w:rStyle w:val="Enfasidelicata"/>
        </w:rPr>
        <w:t>il c</w:t>
      </w:r>
      <w:r w:rsidR="001165A8">
        <w:rPr>
          <w:rStyle w:val="Enfasidelicata"/>
        </w:rPr>
        <w:t>ontratto a tempo indeterminato</w:t>
      </w:r>
      <w:r w:rsidR="008444DD">
        <w:rPr>
          <w:rStyle w:val="Enfasidelicata"/>
        </w:rPr>
        <w:t xml:space="preserve">. </w:t>
      </w:r>
    </w:p>
    <w:p w:rsidR="008235C3" w:rsidRDefault="008444DD" w:rsidP="00E573C8">
      <w:pPr>
        <w:spacing w:after="0" w:line="240" w:lineRule="auto"/>
        <w:jc w:val="both"/>
        <w:rPr>
          <w:rStyle w:val="Enfasidelicata"/>
        </w:rPr>
      </w:pPr>
      <w:r>
        <w:rPr>
          <w:rStyle w:val="Enfasidelicata"/>
        </w:rPr>
        <w:t xml:space="preserve">A quella originaria legge, </w:t>
      </w:r>
      <w:r w:rsidR="00312377">
        <w:rPr>
          <w:rStyle w:val="Enfasidelicata"/>
        </w:rPr>
        <w:t xml:space="preserve">sono </w:t>
      </w:r>
      <w:r w:rsidR="00B545AF">
        <w:rPr>
          <w:rStyle w:val="Enfasidelicata"/>
        </w:rPr>
        <w:t>succeduti</w:t>
      </w:r>
      <w:r w:rsidR="00312377">
        <w:rPr>
          <w:rStyle w:val="Enfasidelicata"/>
        </w:rPr>
        <w:t xml:space="preserve"> innumerevoli correttivi legislativi primo tra tutti</w:t>
      </w:r>
      <w:r w:rsidR="00B545AF">
        <w:rPr>
          <w:rStyle w:val="Enfasidelicata"/>
        </w:rPr>
        <w:t xml:space="preserve"> il d.lgs</w:t>
      </w:r>
      <w:r w:rsidR="00312377">
        <w:rPr>
          <w:rStyle w:val="Enfasidelicata"/>
        </w:rPr>
        <w:t>.368/2001 d</w:t>
      </w:r>
      <w:r>
        <w:rPr>
          <w:rStyle w:val="Enfasidelicata"/>
        </w:rPr>
        <w:t xml:space="preserve">i recepimento della Direttiva 1999/70/UE, </w:t>
      </w:r>
      <w:r w:rsidR="00933591">
        <w:rPr>
          <w:rStyle w:val="Enfasidelicata"/>
        </w:rPr>
        <w:t xml:space="preserve">che ha subito 12 interventi modificativi </w:t>
      </w:r>
      <w:r w:rsidRPr="00CF39F2">
        <w:rPr>
          <w:rStyle w:val="Enfasidelicata"/>
        </w:rPr>
        <w:t xml:space="preserve">fino </w:t>
      </w:r>
      <w:r w:rsidR="008235C3">
        <w:rPr>
          <w:rStyle w:val="Enfasidelicata"/>
        </w:rPr>
        <w:t xml:space="preserve">a giungere alle </w:t>
      </w:r>
      <w:r w:rsidR="00933591">
        <w:rPr>
          <w:rStyle w:val="Enfasidelicata"/>
        </w:rPr>
        <w:t xml:space="preserve">più recenti </w:t>
      </w:r>
      <w:r w:rsidR="00B545AF">
        <w:rPr>
          <w:rStyle w:val="Enfasidelicata"/>
        </w:rPr>
        <w:t>novità</w:t>
      </w:r>
      <w:r w:rsidR="00933591">
        <w:rPr>
          <w:rStyle w:val="Enfasidelicata"/>
        </w:rPr>
        <w:t xml:space="preserve"> </w:t>
      </w:r>
      <w:r w:rsidR="006F57CB">
        <w:rPr>
          <w:rStyle w:val="Enfasidelicata"/>
        </w:rPr>
        <w:t>contenute nel</w:t>
      </w:r>
      <w:r w:rsidRPr="00CF39F2">
        <w:rPr>
          <w:rStyle w:val="Enfasidelicata"/>
        </w:rPr>
        <w:t xml:space="preserve"> d.lgs 81/2015 </w:t>
      </w:r>
      <w:r w:rsidR="00F639EB">
        <w:rPr>
          <w:rStyle w:val="Enfasidelicata"/>
        </w:rPr>
        <w:t>(uno degli 8 decreti attuativi</w:t>
      </w:r>
      <w:r w:rsidRPr="00CF39F2">
        <w:rPr>
          <w:rStyle w:val="Enfasidelicata"/>
        </w:rPr>
        <w:t xml:space="preserve"> del Jobs Act</w:t>
      </w:r>
      <w:r w:rsidR="00F639EB">
        <w:rPr>
          <w:rStyle w:val="Enfasidelicata"/>
        </w:rPr>
        <w:t>)</w:t>
      </w:r>
      <w:r w:rsidR="008235C3">
        <w:rPr>
          <w:rStyle w:val="Enfasidelicata"/>
        </w:rPr>
        <w:t>.</w:t>
      </w:r>
    </w:p>
    <w:p w:rsidR="001C2785" w:rsidRPr="00D2265D" w:rsidRDefault="00BE6BD5" w:rsidP="001C2785">
      <w:pPr>
        <w:spacing w:after="0" w:line="240" w:lineRule="auto"/>
        <w:jc w:val="both"/>
        <w:rPr>
          <w:rStyle w:val="Enfasidelicata"/>
        </w:rPr>
      </w:pPr>
      <w:r>
        <w:rPr>
          <w:rStyle w:val="Enfasidelicata"/>
        </w:rPr>
        <w:t>Occorre ammetterlo per onestà intellettuale: la continua modifica del diritto del lavoro, non conferisce certezza allo stesso, creando quindi situazioni di incertezza applicativa anche nei confronti di chi deve assumere. C’è poi un problema di chiarezza della norma, che troppo spesso si è mostrata di difficile e dubbia interpretazione.</w:t>
      </w:r>
      <w:r w:rsidR="001C2785">
        <w:rPr>
          <w:rStyle w:val="Enfasidelicata"/>
        </w:rPr>
        <w:t xml:space="preserve"> </w:t>
      </w:r>
      <w:r w:rsidR="001C2785" w:rsidRPr="00D2265D">
        <w:rPr>
          <w:rStyle w:val="Enfasidelicata"/>
        </w:rPr>
        <w:t>Dottrina e giurisprudenza sono intervenute a più riprese sul tema del contratto a tempo determinato per dirimere dubbi interpretativi connessi all’istituto e per risolvere le molteplici controversie lavoristiche che ne sono scaturite, giungendo in molti casi fino alla Corte di Giustizia Europea</w:t>
      </w:r>
      <w:r w:rsidR="001C2785">
        <w:rPr>
          <w:rStyle w:val="Enfasidelicata"/>
        </w:rPr>
        <w:t>.</w:t>
      </w:r>
    </w:p>
    <w:p w:rsidR="00373FE8" w:rsidRDefault="00724DF7" w:rsidP="00E573C8">
      <w:pPr>
        <w:spacing w:after="0" w:line="240" w:lineRule="auto"/>
        <w:jc w:val="both"/>
        <w:rPr>
          <w:rStyle w:val="Enfasidelicata"/>
        </w:rPr>
      </w:pPr>
      <w:r>
        <w:rPr>
          <w:rStyle w:val="Enfasidelicata"/>
        </w:rPr>
        <w:t xml:space="preserve">Al termine di questo preambolo che ricostruisce, seppur sommariamente, l’evoluzione legislativa fino ad oggi succedutasi su questa tipologia contrattuale, </w:t>
      </w:r>
      <w:r w:rsidR="00F41766">
        <w:rPr>
          <w:rStyle w:val="Enfasidelicata"/>
        </w:rPr>
        <w:t xml:space="preserve">oggi il Decreto Dignità </w:t>
      </w:r>
      <w:r w:rsidR="00C2613C">
        <w:rPr>
          <w:rStyle w:val="Enfasidelicata"/>
        </w:rPr>
        <w:t>reinterviene su questo istituto</w:t>
      </w:r>
      <w:r w:rsidR="00373FE8">
        <w:rPr>
          <w:rStyle w:val="Enfasidelicata"/>
        </w:rPr>
        <w:t xml:space="preserve"> con alcuni correttivi:</w:t>
      </w:r>
    </w:p>
    <w:p w:rsidR="000E1540" w:rsidRDefault="000E1540" w:rsidP="00E573C8">
      <w:pPr>
        <w:spacing w:after="0" w:line="240" w:lineRule="auto"/>
        <w:jc w:val="both"/>
        <w:rPr>
          <w:rStyle w:val="Enfasidelicata"/>
        </w:rPr>
      </w:pPr>
    </w:p>
    <w:p w:rsidR="007B7BE3" w:rsidRDefault="00373FE8" w:rsidP="00373FE8">
      <w:pPr>
        <w:pStyle w:val="Paragrafoelenco"/>
        <w:numPr>
          <w:ilvl w:val="0"/>
          <w:numId w:val="4"/>
        </w:numPr>
        <w:spacing w:after="0" w:line="240" w:lineRule="auto"/>
        <w:jc w:val="both"/>
        <w:rPr>
          <w:rStyle w:val="Enfasidelicata"/>
        </w:rPr>
      </w:pPr>
      <w:r w:rsidRPr="007B7BE3">
        <w:rPr>
          <w:rStyle w:val="Enfasidelicata"/>
          <w:u w:val="single"/>
        </w:rPr>
        <w:t>REIN</w:t>
      </w:r>
      <w:r w:rsidR="007B7BE3">
        <w:rPr>
          <w:rStyle w:val="Enfasidelicata"/>
          <w:u w:val="single"/>
        </w:rPr>
        <w:t>TRODUZIONE</w:t>
      </w:r>
      <w:r w:rsidRPr="007B7BE3">
        <w:rPr>
          <w:rStyle w:val="Enfasidelicata"/>
          <w:u w:val="single"/>
        </w:rPr>
        <w:t xml:space="preserve"> DELLE CAUSALI</w:t>
      </w:r>
      <w:r>
        <w:rPr>
          <w:rStyle w:val="Enfasidelicata"/>
        </w:rPr>
        <w:t xml:space="preserve">:  </w:t>
      </w:r>
    </w:p>
    <w:p w:rsidR="00BE6BD5" w:rsidRDefault="00373FE8" w:rsidP="00373FE8">
      <w:pPr>
        <w:spacing w:after="0" w:line="240" w:lineRule="auto"/>
        <w:jc w:val="both"/>
        <w:rPr>
          <w:rStyle w:val="Enfasidelicata"/>
        </w:rPr>
      </w:pPr>
      <w:r>
        <w:rPr>
          <w:rStyle w:val="Enfasidelicata"/>
        </w:rPr>
        <w:t xml:space="preserve">Il Pacchetto Lavoro </w:t>
      </w:r>
      <w:r w:rsidR="00F639EB">
        <w:rPr>
          <w:rStyle w:val="Enfasidelicata"/>
        </w:rPr>
        <w:t xml:space="preserve">contenuto nel Decreto Dignità, </w:t>
      </w:r>
      <w:r>
        <w:rPr>
          <w:rStyle w:val="Enfasidelicata"/>
        </w:rPr>
        <w:t>r</w:t>
      </w:r>
      <w:r w:rsidR="00C2613C">
        <w:rPr>
          <w:rStyle w:val="Enfasidelicata"/>
        </w:rPr>
        <w:t xml:space="preserve">eintroduce, </w:t>
      </w:r>
      <w:r w:rsidR="00527E6B">
        <w:rPr>
          <w:rStyle w:val="Enfasidelicata"/>
        </w:rPr>
        <w:t>dopo altalenanti fasi di in</w:t>
      </w:r>
      <w:r w:rsidR="00F639EB">
        <w:rPr>
          <w:rStyle w:val="Enfasidelicata"/>
        </w:rPr>
        <w:t>serimento</w:t>
      </w:r>
      <w:r w:rsidR="00527E6B">
        <w:rPr>
          <w:rStyle w:val="Enfasidelicata"/>
        </w:rPr>
        <w:t xml:space="preserve"> ed eliminazione (questa ultima avvenuta dapprima in maniera più attenuata con la Legge di riforma del lavoro del 2012 e, poi proseguita, in maniera totalizzante con il Decreto Poletti e confermata dal Jobs Act</w:t>
      </w:r>
      <w:r w:rsidR="00F639EB">
        <w:rPr>
          <w:rStyle w:val="Enfasidelicata"/>
        </w:rPr>
        <w:t>),</w:t>
      </w:r>
      <w:r w:rsidR="00527E6B">
        <w:rPr>
          <w:rStyle w:val="Enfasidelicata"/>
        </w:rPr>
        <w:t xml:space="preserve"> </w:t>
      </w:r>
      <w:r w:rsidR="00740775">
        <w:rPr>
          <w:rStyle w:val="Enfasidelicata"/>
        </w:rPr>
        <w:t xml:space="preserve">le </w:t>
      </w:r>
      <w:r w:rsidR="007B7BE3">
        <w:rPr>
          <w:rStyle w:val="Enfasidelicata"/>
        </w:rPr>
        <w:t>“causali” cioè i motivi oggettivi che giustificano il ricorso alla temporaneità del contratto.</w:t>
      </w:r>
      <w:r w:rsidR="00527E6B">
        <w:rPr>
          <w:rStyle w:val="Enfasidelicata"/>
        </w:rPr>
        <w:t xml:space="preserve"> </w:t>
      </w:r>
    </w:p>
    <w:p w:rsidR="00BE6BD5" w:rsidRDefault="00084092" w:rsidP="00E573C8">
      <w:pPr>
        <w:spacing w:after="0" w:line="240" w:lineRule="auto"/>
        <w:jc w:val="both"/>
        <w:rPr>
          <w:rStyle w:val="Enfasidelicata"/>
        </w:rPr>
      </w:pPr>
      <w:r>
        <w:rPr>
          <w:rStyle w:val="Enfasidelicata"/>
        </w:rPr>
        <w:t xml:space="preserve">Le </w:t>
      </w:r>
      <w:r w:rsidRPr="00980A42">
        <w:rPr>
          <w:rStyle w:val="Enfasidelicata"/>
          <w:b/>
        </w:rPr>
        <w:t>causali</w:t>
      </w:r>
      <w:r>
        <w:rPr>
          <w:rStyle w:val="Enfasidelicata"/>
        </w:rPr>
        <w:t xml:space="preserve"> menzionate nel Pacchetto Lavoro </w:t>
      </w:r>
      <w:r w:rsidR="00C2613C">
        <w:rPr>
          <w:rStyle w:val="Enfasidelicata"/>
        </w:rPr>
        <w:t>sono molto simili a quelle richiamate nel</w:t>
      </w:r>
      <w:r>
        <w:rPr>
          <w:rStyle w:val="Enfasidelicata"/>
        </w:rPr>
        <w:t xml:space="preserve">la primigenia Legge del 1962: </w:t>
      </w:r>
    </w:p>
    <w:p w:rsidR="00084092" w:rsidRPr="00980A42" w:rsidRDefault="00D76190" w:rsidP="003D27DB">
      <w:pPr>
        <w:pStyle w:val="Paragrafoelenco"/>
        <w:numPr>
          <w:ilvl w:val="0"/>
          <w:numId w:val="2"/>
        </w:numPr>
        <w:spacing w:after="0" w:line="240" w:lineRule="auto"/>
        <w:jc w:val="both"/>
        <w:rPr>
          <w:rStyle w:val="Enfasidelicata"/>
          <w:b/>
        </w:rPr>
      </w:pPr>
      <w:r w:rsidRPr="00980A42">
        <w:rPr>
          <w:rStyle w:val="Enfasidelicata"/>
          <w:b/>
        </w:rPr>
        <w:t>e</w:t>
      </w:r>
      <w:r w:rsidR="003D27DB" w:rsidRPr="00980A42">
        <w:rPr>
          <w:rStyle w:val="Enfasidelicata"/>
          <w:b/>
        </w:rPr>
        <w:t>sigenze temporanee e oggettive, estranee all’ordinaria attività, ovvero ad esigenze sostitutive di altri lavoratori</w:t>
      </w:r>
    </w:p>
    <w:p w:rsidR="003D27DB" w:rsidRPr="00980A42" w:rsidRDefault="00D76190" w:rsidP="003D27DB">
      <w:pPr>
        <w:pStyle w:val="Paragrafoelenco"/>
        <w:numPr>
          <w:ilvl w:val="0"/>
          <w:numId w:val="2"/>
        </w:numPr>
        <w:spacing w:after="0" w:line="240" w:lineRule="auto"/>
        <w:jc w:val="both"/>
        <w:rPr>
          <w:rStyle w:val="Enfasidelicata"/>
          <w:b/>
        </w:rPr>
      </w:pPr>
      <w:r w:rsidRPr="00980A42">
        <w:rPr>
          <w:rStyle w:val="Enfasidelicata"/>
          <w:b/>
        </w:rPr>
        <w:t>e</w:t>
      </w:r>
      <w:r w:rsidR="003D27DB" w:rsidRPr="00980A42">
        <w:rPr>
          <w:rStyle w:val="Enfasidelicata"/>
          <w:b/>
        </w:rPr>
        <w:t>sigenze connesse ad incrementi temporanei, significativi e non programmabili, dell’attività ordinaria</w:t>
      </w:r>
    </w:p>
    <w:p w:rsidR="004E7168" w:rsidRDefault="00B91B16" w:rsidP="00E573C8">
      <w:pPr>
        <w:spacing w:after="0" w:line="240" w:lineRule="auto"/>
        <w:jc w:val="both"/>
        <w:rPr>
          <w:rStyle w:val="Enfasidelicata"/>
        </w:rPr>
      </w:pPr>
      <w:r>
        <w:rPr>
          <w:rStyle w:val="Enfasidelicata"/>
        </w:rPr>
        <w:t xml:space="preserve">Non vengono richiamate nell’elenco delle causali, </w:t>
      </w:r>
      <w:r w:rsidR="00C949FF">
        <w:rPr>
          <w:rStyle w:val="Enfasidelicata"/>
        </w:rPr>
        <w:t>le attività caratterizzate dalla stagional</w:t>
      </w:r>
      <w:r w:rsidR="00D641A6">
        <w:rPr>
          <w:rStyle w:val="Enfasidelicata"/>
        </w:rPr>
        <w:t>ità</w:t>
      </w:r>
      <w:r w:rsidR="00C949FF">
        <w:rPr>
          <w:rStyle w:val="Enfasidelicata"/>
        </w:rPr>
        <w:t xml:space="preserve">, in quanto </w:t>
      </w:r>
      <w:r w:rsidR="00F03296">
        <w:rPr>
          <w:rStyle w:val="Enfasidelicata"/>
        </w:rPr>
        <w:t xml:space="preserve">la causalità è insita nella </w:t>
      </w:r>
      <w:r>
        <w:rPr>
          <w:rStyle w:val="Enfasidelicata"/>
        </w:rPr>
        <w:t xml:space="preserve">stessa </w:t>
      </w:r>
      <w:r w:rsidR="00F03296">
        <w:rPr>
          <w:rStyle w:val="Enfasidelicata"/>
        </w:rPr>
        <w:t>tipologia di attività.</w:t>
      </w:r>
      <w:r w:rsidR="003C36DB">
        <w:rPr>
          <w:rStyle w:val="Enfasidelicata"/>
        </w:rPr>
        <w:t xml:space="preserve"> Quindi continu</w:t>
      </w:r>
      <w:r w:rsidR="006F57CB">
        <w:rPr>
          <w:rStyle w:val="Enfasidelicata"/>
        </w:rPr>
        <w:t xml:space="preserve">erà </w:t>
      </w:r>
      <w:r w:rsidR="003C36DB">
        <w:rPr>
          <w:rStyle w:val="Enfasidelicata"/>
        </w:rPr>
        <w:t xml:space="preserve">a </w:t>
      </w:r>
      <w:r w:rsidR="006F57CB">
        <w:rPr>
          <w:rStyle w:val="Enfasidelicata"/>
        </w:rPr>
        <w:t>trovare applicazione</w:t>
      </w:r>
      <w:r w:rsidR="003C36DB">
        <w:rPr>
          <w:rStyle w:val="Enfasidelicata"/>
        </w:rPr>
        <w:t xml:space="preserve"> la vigente disciplina </w:t>
      </w:r>
      <w:r w:rsidR="006F57CB">
        <w:rPr>
          <w:rStyle w:val="Enfasidelicata"/>
        </w:rPr>
        <w:t>in tema di</w:t>
      </w:r>
      <w:r w:rsidR="003C36DB">
        <w:rPr>
          <w:rStyle w:val="Enfasidelicata"/>
        </w:rPr>
        <w:t xml:space="preserve"> stagionalità </w:t>
      </w:r>
      <w:r w:rsidR="006F57CB">
        <w:rPr>
          <w:rStyle w:val="Enfasidelicata"/>
        </w:rPr>
        <w:t>e l’</w:t>
      </w:r>
      <w:r w:rsidR="003C36DB">
        <w:rPr>
          <w:rStyle w:val="Enfasidelicata"/>
        </w:rPr>
        <w:t>elen</w:t>
      </w:r>
      <w:r w:rsidR="006F57CB">
        <w:rPr>
          <w:rStyle w:val="Enfasidelicata"/>
        </w:rPr>
        <w:t>co delle attività di cui al</w:t>
      </w:r>
      <w:r w:rsidR="003C36DB">
        <w:rPr>
          <w:rStyle w:val="Enfasidelicata"/>
        </w:rPr>
        <w:t xml:space="preserve"> DPR 1525/1963 </w:t>
      </w:r>
      <w:r w:rsidR="006F57CB">
        <w:rPr>
          <w:rStyle w:val="Enfasidelicata"/>
        </w:rPr>
        <w:t>e quelle</w:t>
      </w:r>
      <w:r w:rsidR="003C36DB">
        <w:rPr>
          <w:rStyle w:val="Enfasidelicata"/>
        </w:rPr>
        <w:t xml:space="preserve"> stabilite dalla contrattazione collettiva (anche aziendale).</w:t>
      </w:r>
    </w:p>
    <w:p w:rsidR="00E0514C" w:rsidRDefault="008B648B" w:rsidP="00E573C8">
      <w:pPr>
        <w:spacing w:after="0" w:line="240" w:lineRule="auto"/>
        <w:jc w:val="both"/>
        <w:rPr>
          <w:rStyle w:val="Enfasidelicata"/>
        </w:rPr>
      </w:pPr>
      <w:r>
        <w:rPr>
          <w:rStyle w:val="Enfasidelicata"/>
        </w:rPr>
        <w:t>Il ritorno delle causali è una novità che</w:t>
      </w:r>
      <w:r w:rsidR="000C3AE7">
        <w:rPr>
          <w:rStyle w:val="Enfasidelicata"/>
        </w:rPr>
        <w:t>,</w:t>
      </w:r>
      <w:r>
        <w:rPr>
          <w:rStyle w:val="Enfasidelicata"/>
        </w:rPr>
        <w:t xml:space="preserve"> come UIL</w:t>
      </w:r>
      <w:r w:rsidR="000C3AE7">
        <w:rPr>
          <w:rStyle w:val="Enfasidelicata"/>
        </w:rPr>
        <w:t>,</w:t>
      </w:r>
      <w:r>
        <w:rPr>
          <w:rStyle w:val="Enfasidelicata"/>
        </w:rPr>
        <w:t xml:space="preserve"> </w:t>
      </w:r>
      <w:r w:rsidR="00E0514C">
        <w:rPr>
          <w:rStyle w:val="Enfasidelicata"/>
        </w:rPr>
        <w:t>condividiamo</w:t>
      </w:r>
      <w:r>
        <w:rPr>
          <w:rStyle w:val="Enfasidelicata"/>
        </w:rPr>
        <w:t>,</w:t>
      </w:r>
      <w:r w:rsidR="00E0514C">
        <w:rPr>
          <w:rStyle w:val="Enfasidelicata"/>
        </w:rPr>
        <w:t xml:space="preserve"> poiché </w:t>
      </w:r>
      <w:r w:rsidR="004E7168">
        <w:rPr>
          <w:rStyle w:val="Enfasidelicata"/>
        </w:rPr>
        <w:t>è un requisito che tende a riaffermare il</w:t>
      </w:r>
      <w:r w:rsidR="00E0514C">
        <w:rPr>
          <w:rStyle w:val="Enfasidelicata"/>
        </w:rPr>
        <w:t xml:space="preserve"> criterio di differenziazione finalistica del contratto a tempo determinato rispetto al contratto standard: il contratto a termine costituisce l’</w:t>
      </w:r>
      <w:r w:rsidR="00E0514C" w:rsidRPr="00CF39F2">
        <w:rPr>
          <w:rStyle w:val="Enfasidelicata"/>
        </w:rPr>
        <w:t>“e</w:t>
      </w:r>
      <w:r w:rsidR="00E0514C">
        <w:rPr>
          <w:rStyle w:val="Enfasidelicata"/>
        </w:rPr>
        <w:t xml:space="preserve">ccezione” rispetto alla forma comune del contratto che resta il contratto a tempo indeterminato. </w:t>
      </w:r>
      <w:r w:rsidR="00E0514C" w:rsidRPr="00CF39F2">
        <w:rPr>
          <w:rStyle w:val="Enfasidelicata"/>
        </w:rPr>
        <w:t xml:space="preserve">Eccezione che trova il suo fondamento </w:t>
      </w:r>
      <w:r w:rsidR="008A0248">
        <w:rPr>
          <w:rStyle w:val="Enfasidelicata"/>
        </w:rPr>
        <w:t xml:space="preserve">proprio </w:t>
      </w:r>
      <w:r w:rsidR="00E0514C" w:rsidRPr="00CF39F2">
        <w:rPr>
          <w:rStyle w:val="Enfasidelicata"/>
        </w:rPr>
        <w:t>nella temporaneità/scadenza del rapporto di lavoro stesso.</w:t>
      </w:r>
    </w:p>
    <w:p w:rsidR="00E0514C" w:rsidRDefault="008A0248" w:rsidP="005134D1">
      <w:pPr>
        <w:spacing w:after="0" w:line="240" w:lineRule="auto"/>
        <w:jc w:val="both"/>
        <w:rPr>
          <w:rStyle w:val="Enfasidelicata"/>
        </w:rPr>
      </w:pPr>
      <w:r>
        <w:rPr>
          <w:rStyle w:val="Enfasidelicata"/>
        </w:rPr>
        <w:t>Riteniamo</w:t>
      </w:r>
      <w:r w:rsidR="004E7168">
        <w:rPr>
          <w:rStyle w:val="Enfasidelicata"/>
        </w:rPr>
        <w:t xml:space="preserve"> </w:t>
      </w:r>
      <w:r w:rsidR="00DF2F22">
        <w:rPr>
          <w:rStyle w:val="Enfasidelicata"/>
        </w:rPr>
        <w:t xml:space="preserve">che sul tema delle causali, vada apportato un correttivo in sede di conversione: il Decreto Dignità </w:t>
      </w:r>
      <w:r w:rsidR="00E9394A">
        <w:rPr>
          <w:rStyle w:val="Enfasidelicata"/>
        </w:rPr>
        <w:t xml:space="preserve">introduce </w:t>
      </w:r>
      <w:r w:rsidR="00DF2F22">
        <w:rPr>
          <w:rStyle w:val="Enfasidelicata"/>
        </w:rPr>
        <w:t xml:space="preserve">una </w:t>
      </w:r>
      <w:r w:rsidR="00DF2F22" w:rsidRPr="00980A42">
        <w:rPr>
          <w:rStyle w:val="Enfasidelicata"/>
          <w:b/>
        </w:rPr>
        <w:t>acausalità circoscritta al 1° contratto, che potrà</w:t>
      </w:r>
      <w:r w:rsidR="000C3AE7" w:rsidRPr="00980A42">
        <w:rPr>
          <w:rStyle w:val="Enfasidelicata"/>
          <w:b/>
        </w:rPr>
        <w:t>, però,</w:t>
      </w:r>
      <w:r w:rsidR="00DF2F22" w:rsidRPr="00980A42">
        <w:rPr>
          <w:rStyle w:val="Enfasidelicata"/>
          <w:b/>
        </w:rPr>
        <w:t xml:space="preserve"> essere privo di giustificazione fino ad un massimo di 12 mesi</w:t>
      </w:r>
      <w:r w:rsidR="00DF2F22">
        <w:rPr>
          <w:rStyle w:val="Enfasidelicata"/>
        </w:rPr>
        <w:t xml:space="preserve"> (</w:t>
      </w:r>
      <w:r w:rsidR="000B2FC2">
        <w:rPr>
          <w:rStyle w:val="Enfasidelicata"/>
        </w:rPr>
        <w:t>comprese le sue eventuali proroghe</w:t>
      </w:r>
      <w:r w:rsidR="004E7168">
        <w:rPr>
          <w:rStyle w:val="Enfasidelicata"/>
        </w:rPr>
        <w:t xml:space="preserve"> </w:t>
      </w:r>
      <w:r w:rsidR="00DF2F22">
        <w:rPr>
          <w:rStyle w:val="Enfasidelicata"/>
        </w:rPr>
        <w:t>che il Pacchetto Lavoro riduce</w:t>
      </w:r>
      <w:r w:rsidR="009836BA">
        <w:rPr>
          <w:rStyle w:val="Enfasidelicata"/>
        </w:rPr>
        <w:t>, complessivamente,</w:t>
      </w:r>
      <w:r w:rsidR="00DF2F22">
        <w:rPr>
          <w:rStyle w:val="Enfasidelicata"/>
        </w:rPr>
        <w:t xml:space="preserve"> da 5 a </w:t>
      </w:r>
      <w:r w:rsidR="004E7168">
        <w:rPr>
          <w:rStyle w:val="Enfasidelicata"/>
        </w:rPr>
        <w:t>4)</w:t>
      </w:r>
      <w:r w:rsidR="000C3AE7">
        <w:rPr>
          <w:rStyle w:val="Enfasidelicata"/>
        </w:rPr>
        <w:t>. Riteniamo, questo,</w:t>
      </w:r>
      <w:r w:rsidR="00D52610">
        <w:rPr>
          <w:rStyle w:val="Enfasidelicata"/>
        </w:rPr>
        <w:t xml:space="preserve"> </w:t>
      </w:r>
      <w:r w:rsidR="00E9394A">
        <w:rPr>
          <w:rStyle w:val="Enfasidelicata"/>
        </w:rPr>
        <w:t>un tempo troppo lungo di</w:t>
      </w:r>
      <w:r w:rsidR="00DB7FC2">
        <w:rPr>
          <w:rStyle w:val="Enfasidelicata"/>
        </w:rPr>
        <w:t xml:space="preserve"> esonero dall’apposizione di una specifica giustificazione. Vorremmo evitare che, come nel passato, dietro lunghi periodi di contratto a termine possano celarsi lunghi periodi di prova </w:t>
      </w:r>
      <w:r w:rsidR="00E9394A">
        <w:rPr>
          <w:rStyle w:val="Enfasidelicata"/>
        </w:rPr>
        <w:t>per le lavoratrici ed i lavoratori</w:t>
      </w:r>
      <w:r w:rsidR="00DB7FC2">
        <w:rPr>
          <w:rStyle w:val="Enfasidelicata"/>
        </w:rPr>
        <w:t>.</w:t>
      </w:r>
    </w:p>
    <w:p w:rsidR="00D2265D" w:rsidRDefault="000C3AE7" w:rsidP="00100A99">
      <w:pPr>
        <w:spacing w:after="0" w:line="240" w:lineRule="auto"/>
        <w:jc w:val="both"/>
        <w:rPr>
          <w:rStyle w:val="Enfasidelicata"/>
        </w:rPr>
      </w:pPr>
      <w:r>
        <w:rPr>
          <w:rStyle w:val="Enfasidelicata"/>
        </w:rPr>
        <w:t>Crediamo, quindi, più corretto</w:t>
      </w:r>
      <w:r w:rsidR="00E9394A">
        <w:rPr>
          <w:rStyle w:val="Enfasidelicata"/>
        </w:rPr>
        <w:t>,</w:t>
      </w:r>
      <w:r>
        <w:rPr>
          <w:rStyle w:val="Enfasidelicata"/>
        </w:rPr>
        <w:t xml:space="preserve"> rispetto alla natura di questa tipologia contrattuale, </w:t>
      </w:r>
      <w:r w:rsidR="00EF2804">
        <w:rPr>
          <w:rStyle w:val="Enfasidelicata"/>
        </w:rPr>
        <w:t xml:space="preserve">prevedere </w:t>
      </w:r>
      <w:r w:rsidR="00DB7FC2">
        <w:rPr>
          <w:rStyle w:val="Enfasidelicata"/>
        </w:rPr>
        <w:t>la causale anche a partire dal 1° contratto</w:t>
      </w:r>
      <w:r w:rsidR="00100A99">
        <w:rPr>
          <w:rStyle w:val="Enfasidelicata"/>
        </w:rPr>
        <w:t xml:space="preserve">. </w:t>
      </w:r>
      <w:r w:rsidR="00DB7FC2">
        <w:rPr>
          <w:rStyle w:val="Enfasidelicata"/>
        </w:rPr>
        <w:t xml:space="preserve"> </w:t>
      </w:r>
    </w:p>
    <w:p w:rsidR="000E1540" w:rsidRDefault="000E1540" w:rsidP="00100A99">
      <w:pPr>
        <w:spacing w:after="0" w:line="240" w:lineRule="auto"/>
        <w:jc w:val="both"/>
        <w:rPr>
          <w:rStyle w:val="Enfasidelicata"/>
        </w:rPr>
      </w:pPr>
    </w:p>
    <w:p w:rsidR="000E1540" w:rsidRDefault="000E1540" w:rsidP="00100A99">
      <w:pPr>
        <w:spacing w:after="0" w:line="240" w:lineRule="auto"/>
        <w:jc w:val="both"/>
        <w:rPr>
          <w:rStyle w:val="Enfasidelicata"/>
        </w:rPr>
      </w:pPr>
    </w:p>
    <w:p w:rsidR="007B7BE3" w:rsidRDefault="007B7BE3" w:rsidP="007B7BE3">
      <w:pPr>
        <w:pStyle w:val="Paragrafoelenco"/>
        <w:numPr>
          <w:ilvl w:val="0"/>
          <w:numId w:val="4"/>
        </w:numPr>
        <w:spacing w:after="0" w:line="240" w:lineRule="auto"/>
        <w:jc w:val="both"/>
        <w:rPr>
          <w:rStyle w:val="Enfasidelicata"/>
        </w:rPr>
      </w:pPr>
      <w:r w:rsidRPr="00C344D5">
        <w:rPr>
          <w:rStyle w:val="Enfasidelicata"/>
          <w:u w:val="single"/>
        </w:rPr>
        <w:lastRenderedPageBreak/>
        <w:t>RIDUZIONE DELLA DURATA COMPLESSIVA DEL CONTRATTO A 24 MESI</w:t>
      </w:r>
      <w:r>
        <w:rPr>
          <w:rStyle w:val="Enfasidelicata"/>
        </w:rPr>
        <w:t xml:space="preserve">. </w:t>
      </w:r>
    </w:p>
    <w:p w:rsidR="000C3AAA" w:rsidRDefault="000C3AAA" w:rsidP="007B7BE3">
      <w:pPr>
        <w:spacing w:after="0" w:line="240" w:lineRule="auto"/>
        <w:jc w:val="both"/>
        <w:rPr>
          <w:rStyle w:val="Enfasidelicata"/>
        </w:rPr>
      </w:pPr>
      <w:r>
        <w:rPr>
          <w:rStyle w:val="Enfasidelicata"/>
        </w:rPr>
        <w:t xml:space="preserve">Vengono ridotti da 36 a </w:t>
      </w:r>
      <w:r w:rsidRPr="00980A42">
        <w:rPr>
          <w:rStyle w:val="Enfasidelicata"/>
          <w:b/>
        </w:rPr>
        <w:t>24</w:t>
      </w:r>
      <w:r>
        <w:rPr>
          <w:rStyle w:val="Enfasidelicata"/>
        </w:rPr>
        <w:t xml:space="preserve"> i </w:t>
      </w:r>
      <w:r w:rsidRPr="00980A42">
        <w:rPr>
          <w:rStyle w:val="Enfasidelicata"/>
          <w:b/>
        </w:rPr>
        <w:t>mesi</w:t>
      </w:r>
      <w:r>
        <w:rPr>
          <w:rStyle w:val="Enfasidelicata"/>
        </w:rPr>
        <w:t xml:space="preserve"> complessivamente lavorati </w:t>
      </w:r>
      <w:r w:rsidR="00980A42">
        <w:rPr>
          <w:rStyle w:val="Enfasidelicata"/>
        </w:rPr>
        <w:t xml:space="preserve">con contratto a tempo determinato </w:t>
      </w:r>
      <w:r>
        <w:rPr>
          <w:rStyle w:val="Enfasidelicata"/>
        </w:rPr>
        <w:t xml:space="preserve">(comprensivi di proroghe e rinnovi) tra medesimo lavoratore e datore di lavoro. </w:t>
      </w:r>
      <w:r w:rsidR="00980A42">
        <w:rPr>
          <w:rStyle w:val="Enfasidelicata"/>
        </w:rPr>
        <w:t>La novità lascia intatta la vigente normativa che prevede su tale durata massima, la possibilità di un’</w:t>
      </w:r>
      <w:r w:rsidR="00712CBC">
        <w:rPr>
          <w:rStyle w:val="Enfasidelicata"/>
        </w:rPr>
        <w:t xml:space="preserve">ulteriore contratto in deroga di 12 mesi da stipularsi in ITL (Ispettorato </w:t>
      </w:r>
      <w:r w:rsidR="006F57CB">
        <w:rPr>
          <w:rStyle w:val="Enfasidelicata"/>
        </w:rPr>
        <w:t>Territoriale</w:t>
      </w:r>
      <w:r w:rsidR="00712CBC">
        <w:rPr>
          <w:rStyle w:val="Enfasidelicata"/>
        </w:rPr>
        <w:t xml:space="preserve"> del Lavoro) o</w:t>
      </w:r>
      <w:r w:rsidR="00980A42">
        <w:rPr>
          <w:rStyle w:val="Enfasidelicata"/>
        </w:rPr>
        <w:t xml:space="preserve"> diverse durate </w:t>
      </w:r>
      <w:r w:rsidR="00082244">
        <w:rPr>
          <w:rStyle w:val="Enfasidelicata"/>
        </w:rPr>
        <w:t>stabilit</w:t>
      </w:r>
      <w:r w:rsidR="00980A42">
        <w:rPr>
          <w:rStyle w:val="Enfasidelicata"/>
        </w:rPr>
        <w:t>e</w:t>
      </w:r>
      <w:r w:rsidR="00082244">
        <w:rPr>
          <w:rStyle w:val="Enfasidelicata"/>
        </w:rPr>
        <w:t xml:space="preserve"> d</w:t>
      </w:r>
      <w:r w:rsidR="00712CBC">
        <w:rPr>
          <w:rStyle w:val="Enfasidelicata"/>
        </w:rPr>
        <w:t>alla contrattazio</w:t>
      </w:r>
      <w:r w:rsidR="00082244">
        <w:rPr>
          <w:rStyle w:val="Enfasidelicata"/>
        </w:rPr>
        <w:t>ne collettiva (</w:t>
      </w:r>
      <w:r w:rsidR="00712CBC">
        <w:rPr>
          <w:rStyle w:val="Enfasidelicata"/>
        </w:rPr>
        <w:t>anche</w:t>
      </w:r>
      <w:r w:rsidR="00082244">
        <w:rPr>
          <w:rStyle w:val="Enfasidelicata"/>
        </w:rPr>
        <w:t xml:space="preserve"> aziendale).</w:t>
      </w:r>
      <w:r w:rsidR="00712CBC">
        <w:rPr>
          <w:rStyle w:val="Enfasidelicata"/>
        </w:rPr>
        <w:t xml:space="preserve"> </w:t>
      </w:r>
    </w:p>
    <w:p w:rsidR="009836BA" w:rsidRDefault="00AE3427" w:rsidP="00100A99">
      <w:pPr>
        <w:spacing w:after="0" w:line="240" w:lineRule="auto"/>
        <w:jc w:val="both"/>
        <w:rPr>
          <w:rStyle w:val="Enfasidelicata"/>
        </w:rPr>
      </w:pPr>
      <w:r>
        <w:rPr>
          <w:rStyle w:val="Enfasidelicata"/>
        </w:rPr>
        <w:t>Mostriamo perplessità per l’entrata in vigore del nuovo tetto di 24 mesi ai rinnovi e proroghe in corso. Ciò significherà per molte lavoratrici e lavoratori interrompere “forz</w:t>
      </w:r>
      <w:r w:rsidR="006C2449">
        <w:rPr>
          <w:rStyle w:val="Enfasidelicata"/>
        </w:rPr>
        <w:t>osamente</w:t>
      </w:r>
      <w:r>
        <w:rPr>
          <w:rStyle w:val="Enfasidelicata"/>
        </w:rPr>
        <w:t xml:space="preserve">” un rapporto di lavoro in corso di svolgimento per sopravvenuta </w:t>
      </w:r>
      <w:r w:rsidR="00885541">
        <w:rPr>
          <w:rStyle w:val="Enfasidelicata"/>
        </w:rPr>
        <w:t>scadenza della durata legale.</w:t>
      </w:r>
      <w:r w:rsidR="006C2449">
        <w:rPr>
          <w:rStyle w:val="Enfasidelicata"/>
        </w:rPr>
        <w:t xml:space="preserve"> Sarebbe, quindi, necessario che proprio per garantire quella “dignità” del lavoro, di cui porta il titola questa Decreto, debba essere introdotta una fase transitoria che </w:t>
      </w:r>
      <w:r w:rsidR="007516A0">
        <w:rPr>
          <w:rStyle w:val="Enfasidelicata"/>
        </w:rPr>
        <w:t>salvaguardi tutti quei dipendenti a cui sono in corso proroghe e rinnovi di contratti a tempo determinato.</w:t>
      </w:r>
      <w:r>
        <w:rPr>
          <w:rStyle w:val="Enfasidelicata"/>
        </w:rPr>
        <w:t xml:space="preserve">  </w:t>
      </w:r>
    </w:p>
    <w:p w:rsidR="000E1540" w:rsidRDefault="000E1540" w:rsidP="00100A99">
      <w:pPr>
        <w:spacing w:after="0" w:line="240" w:lineRule="auto"/>
        <w:jc w:val="both"/>
        <w:rPr>
          <w:rStyle w:val="Enfasidelicata"/>
        </w:rPr>
      </w:pPr>
    </w:p>
    <w:p w:rsidR="00C344D5" w:rsidRPr="00C344D5" w:rsidRDefault="00C344D5" w:rsidP="00C344D5">
      <w:pPr>
        <w:pStyle w:val="Paragrafoelenco"/>
        <w:numPr>
          <w:ilvl w:val="0"/>
          <w:numId w:val="4"/>
        </w:numPr>
        <w:spacing w:after="0" w:line="240" w:lineRule="auto"/>
        <w:jc w:val="both"/>
        <w:rPr>
          <w:rStyle w:val="Enfasidelicata"/>
          <w:u w:val="single"/>
        </w:rPr>
      </w:pPr>
      <w:r w:rsidRPr="00C344D5">
        <w:rPr>
          <w:rStyle w:val="Enfasidelicata"/>
          <w:u w:val="single"/>
        </w:rPr>
        <w:t>AUMENTO DELL’ALIQUOTA CONTRIBUTIVA AGGIUNTIVA DELLO 0,5%.</w:t>
      </w:r>
    </w:p>
    <w:p w:rsidR="00061748" w:rsidRDefault="00EA37D0" w:rsidP="00C344D5">
      <w:pPr>
        <w:spacing w:after="0" w:line="240" w:lineRule="auto"/>
        <w:jc w:val="both"/>
        <w:rPr>
          <w:rStyle w:val="Enfasidelicata"/>
        </w:rPr>
      </w:pPr>
      <w:r>
        <w:rPr>
          <w:rStyle w:val="Enfasidelicata"/>
        </w:rPr>
        <w:t xml:space="preserve">Va nella giusta direzione, </w:t>
      </w:r>
      <w:r w:rsidR="000C3AAA">
        <w:rPr>
          <w:rStyle w:val="Enfasidelicata"/>
        </w:rPr>
        <w:t xml:space="preserve">l’ulteriore aumento </w:t>
      </w:r>
      <w:r>
        <w:rPr>
          <w:rStyle w:val="Enfasidelicata"/>
        </w:rPr>
        <w:t xml:space="preserve">della </w:t>
      </w:r>
      <w:r w:rsidRPr="00980A42">
        <w:rPr>
          <w:rStyle w:val="Enfasidelicata"/>
          <w:b/>
        </w:rPr>
        <w:t>contribuzione aggiuntiva</w:t>
      </w:r>
      <w:r w:rsidR="007C3E0F">
        <w:rPr>
          <w:rStyle w:val="Enfasidelicata"/>
        </w:rPr>
        <w:t xml:space="preserve"> a carico del solo datore di lavoro</w:t>
      </w:r>
      <w:r w:rsidR="0085370A">
        <w:rPr>
          <w:rStyle w:val="Enfasidelicata"/>
        </w:rPr>
        <w:t xml:space="preserve">, a cui si cumulerà quello </w:t>
      </w:r>
      <w:r w:rsidR="000C3AAA">
        <w:rPr>
          <w:rStyle w:val="Enfasidelicata"/>
        </w:rPr>
        <w:t>int</w:t>
      </w:r>
      <w:r w:rsidR="0085370A">
        <w:rPr>
          <w:rStyle w:val="Enfasidelicata"/>
        </w:rPr>
        <w:t>rodotto dalla L.92/2012</w:t>
      </w:r>
      <w:r w:rsidR="007C3E0F">
        <w:rPr>
          <w:rStyle w:val="Enfasidelicata"/>
        </w:rPr>
        <w:t xml:space="preserve"> (1,4%). Il Pacchetto Lavoro, prevede, infatti, un incremento di un ulteriore </w:t>
      </w:r>
      <w:r w:rsidR="007C3E0F" w:rsidRPr="00980A42">
        <w:rPr>
          <w:rStyle w:val="Enfasidelicata"/>
          <w:b/>
        </w:rPr>
        <w:t>0,5%</w:t>
      </w:r>
      <w:r w:rsidR="007C3E0F">
        <w:rPr>
          <w:rStyle w:val="Enfasidelicata"/>
        </w:rPr>
        <w:t xml:space="preserve"> per ogni rinnovo contrattuale a partire dal primo. </w:t>
      </w:r>
      <w:r w:rsidR="0085370A">
        <w:rPr>
          <w:rStyle w:val="Enfasidelicata"/>
        </w:rPr>
        <w:t>Poiché crediamo che sul costo aggiuntivo, come si diceva in premessa, si gioc</w:t>
      </w:r>
      <w:r w:rsidR="007C3E0F">
        <w:rPr>
          <w:rStyle w:val="Enfasidelicata"/>
        </w:rPr>
        <w:t xml:space="preserve">hi gran parte della partita della riduzione della cattiva flessibilità, </w:t>
      </w:r>
      <w:r w:rsidR="00980A42">
        <w:rPr>
          <w:rStyle w:val="Enfasidelicata"/>
        </w:rPr>
        <w:t>riteniamo</w:t>
      </w:r>
      <w:r w:rsidR="007C3E0F">
        <w:rPr>
          <w:rStyle w:val="Enfasidelicata"/>
        </w:rPr>
        <w:t xml:space="preserve"> necessario </w:t>
      </w:r>
      <w:r w:rsidR="00980A42">
        <w:rPr>
          <w:rStyle w:val="Enfasidelicata"/>
        </w:rPr>
        <w:t xml:space="preserve">che venga innalzata ulteriormente questa percentuale, con la previsione di un </w:t>
      </w:r>
      <w:r w:rsidR="007C3E0F">
        <w:rPr>
          <w:rStyle w:val="Enfasidelicata"/>
        </w:rPr>
        <w:t>costo maggiorato anche alle proroghe</w:t>
      </w:r>
      <w:r w:rsidR="00BD2295">
        <w:rPr>
          <w:rStyle w:val="Enfasidelicata"/>
        </w:rPr>
        <w:t>. I</w:t>
      </w:r>
      <w:r w:rsidR="00B11B01">
        <w:rPr>
          <w:rStyle w:val="Enfasidelicata"/>
        </w:rPr>
        <w:t xml:space="preserve">l tutto </w:t>
      </w:r>
      <w:r w:rsidR="007C3E0F">
        <w:rPr>
          <w:rStyle w:val="Enfasidelicata"/>
        </w:rPr>
        <w:t>almeno fin quando non si introdurranno riduzioni strutturali del costo del lavoro a tempo indeterminato.</w:t>
      </w:r>
      <w:r w:rsidR="00B11B01">
        <w:rPr>
          <w:rStyle w:val="Enfasidelicata"/>
        </w:rPr>
        <w:t xml:space="preserve"> </w:t>
      </w:r>
      <w:r w:rsidR="007B53C4">
        <w:rPr>
          <w:rStyle w:val="Enfasidelicata"/>
        </w:rPr>
        <w:t>Inoltre</w:t>
      </w:r>
      <w:r w:rsidR="00A43A4F">
        <w:rPr>
          <w:rStyle w:val="Enfasidelicata"/>
        </w:rPr>
        <w:t xml:space="preserve">, sempre nel senso di restituire “dignità” al lavoro, </w:t>
      </w:r>
      <w:r w:rsidR="00BF2A94" w:rsidRPr="00980A42">
        <w:rPr>
          <w:rStyle w:val="Enfasidelicata"/>
          <w:b/>
        </w:rPr>
        <w:t>il costo aggiuntivo della flessibilità dovrebbe essere destinato al lavoratore stesso, in modo da “compensare” l’</w:t>
      </w:r>
      <w:r w:rsidR="0061762B" w:rsidRPr="00980A42">
        <w:rPr>
          <w:rStyle w:val="Enfasidelicata"/>
          <w:b/>
        </w:rPr>
        <w:t xml:space="preserve">instabilità ed insicurezza del </w:t>
      </w:r>
      <w:r w:rsidR="00BF2A94" w:rsidRPr="00980A42">
        <w:rPr>
          <w:rStyle w:val="Enfasidelicata"/>
          <w:b/>
        </w:rPr>
        <w:t>contratto</w:t>
      </w:r>
      <w:r w:rsidR="00BF2A94">
        <w:rPr>
          <w:rStyle w:val="Enfasidelicata"/>
        </w:rPr>
        <w:t>.</w:t>
      </w:r>
    </w:p>
    <w:p w:rsidR="007C5357" w:rsidRDefault="00061748" w:rsidP="00100A99">
      <w:pPr>
        <w:spacing w:after="0" w:line="240" w:lineRule="auto"/>
        <w:jc w:val="both"/>
        <w:rPr>
          <w:rStyle w:val="Enfasidelicata"/>
        </w:rPr>
      </w:pPr>
      <w:r>
        <w:rPr>
          <w:rStyle w:val="Enfasidelicata"/>
        </w:rPr>
        <w:t>Da u</w:t>
      </w:r>
      <w:r w:rsidR="00BD2295">
        <w:rPr>
          <w:rStyle w:val="Enfasidelicata"/>
        </w:rPr>
        <w:t xml:space="preserve">na nostra simulazione, considerando una retribuzione lorda annua di € 24 mila, il costo aggiuntivo </w:t>
      </w:r>
      <w:r w:rsidR="00980A42">
        <w:rPr>
          <w:rStyle w:val="Enfasidelicata"/>
        </w:rPr>
        <w:t>prodotto dall’aumento dello 0,5% è pari a</w:t>
      </w:r>
      <w:r w:rsidR="00E838D9">
        <w:rPr>
          <w:rStyle w:val="Enfasidelicata"/>
        </w:rPr>
        <w:t xml:space="preserve"> </w:t>
      </w:r>
      <w:r w:rsidR="00BD2295">
        <w:rPr>
          <w:rStyle w:val="Enfasidelicata"/>
        </w:rPr>
        <w:t xml:space="preserve">€ </w:t>
      </w:r>
      <w:r w:rsidR="00E838D9">
        <w:rPr>
          <w:rStyle w:val="Enfasidelicata"/>
        </w:rPr>
        <w:t xml:space="preserve">9 </w:t>
      </w:r>
      <w:r w:rsidR="00565B68">
        <w:rPr>
          <w:rStyle w:val="Enfasidelicata"/>
        </w:rPr>
        <w:t xml:space="preserve">mensili </w:t>
      </w:r>
      <w:r w:rsidR="00980A42">
        <w:rPr>
          <w:rStyle w:val="Enfasidelicata"/>
        </w:rPr>
        <w:t>ogni rinnovo</w:t>
      </w:r>
      <w:r w:rsidR="008A7878">
        <w:rPr>
          <w:rStyle w:val="Enfasidelicata"/>
        </w:rPr>
        <w:t xml:space="preserve"> (con un differenziale di costi rispetto al contratto a tempo indeterminato di poco più di € 100 </w:t>
      </w:r>
      <w:r w:rsidR="00565B68">
        <w:rPr>
          <w:rStyle w:val="Enfasidelicata"/>
        </w:rPr>
        <w:t xml:space="preserve">mensili </w:t>
      </w:r>
      <w:r w:rsidR="008A7878">
        <w:rPr>
          <w:rStyle w:val="Enfasidelicata"/>
        </w:rPr>
        <w:t>(comprensivo di addizionale aggiuntivo dell’1,4%, dello 0,5% del Decreto Dignità e dell’Irap)</w:t>
      </w:r>
      <w:r w:rsidR="002F4F1C">
        <w:rPr>
          <w:rStyle w:val="Enfasidelicata"/>
        </w:rPr>
        <w:t>. Ma se il 1° contratto a tempo determinato durasse 12 mesi, tale costo aggiuntivo verrebbe meno, nulla cambiando rispetto ad oggi.</w:t>
      </w:r>
      <w:r w:rsidR="00E838D9">
        <w:rPr>
          <w:rStyle w:val="Enfasidelicata"/>
        </w:rPr>
        <w:t xml:space="preserve">  </w:t>
      </w:r>
    </w:p>
    <w:p w:rsidR="007C5357" w:rsidRDefault="007C5357" w:rsidP="00100A99">
      <w:pPr>
        <w:spacing w:after="0" w:line="240" w:lineRule="auto"/>
        <w:jc w:val="both"/>
        <w:rPr>
          <w:rStyle w:val="Enfasidelicata"/>
        </w:rPr>
      </w:pPr>
    </w:p>
    <w:p w:rsidR="003037D3" w:rsidRDefault="007C5357" w:rsidP="000E1540">
      <w:pPr>
        <w:spacing w:after="0" w:line="240" w:lineRule="auto"/>
        <w:jc w:val="center"/>
        <w:rPr>
          <w:rFonts w:ascii="Calibri" w:eastAsia="Calibri" w:hAnsi="Calibri" w:cs="Times New Roman"/>
          <w:i/>
          <w:iCs/>
          <w:color w:val="808080" w:themeColor="text1" w:themeTint="7F"/>
          <w:sz w:val="20"/>
          <w:szCs w:val="20"/>
        </w:rPr>
      </w:pPr>
      <w:r>
        <w:rPr>
          <w:rStyle w:val="Enfasidelicata"/>
          <w:sz w:val="20"/>
          <w:szCs w:val="20"/>
        </w:rPr>
        <w:t>STIMA UIL del c</w:t>
      </w:r>
      <w:r w:rsidRPr="007C5357">
        <w:rPr>
          <w:rFonts w:ascii="Calibri" w:eastAsia="Calibri" w:hAnsi="Calibri" w:cs="Times New Roman"/>
          <w:i/>
          <w:iCs/>
          <w:color w:val="808080" w:themeColor="text1" w:themeTint="7F"/>
          <w:sz w:val="20"/>
          <w:szCs w:val="20"/>
        </w:rPr>
        <w:t>osto azienda per lavoratore calcolato su una retribuzione lorda annua di 24.000 euro</w:t>
      </w:r>
      <w:r w:rsidR="002D32C9">
        <w:rPr>
          <w:rFonts w:ascii="Calibri" w:eastAsia="Calibri" w:hAnsi="Calibri" w:cs="Times New Roman"/>
          <w:i/>
          <w:iCs/>
          <w:color w:val="808080" w:themeColor="text1" w:themeTint="7F"/>
          <w:sz w:val="20"/>
          <w:szCs w:val="20"/>
        </w:rPr>
        <w:t>: confronto tra contratto a tempo determinato (con aumento dello 0,5% del Decreto Dignità) e contratto a tempo indeterminato</w:t>
      </w:r>
    </w:p>
    <w:p w:rsidR="007C5357" w:rsidRPr="007C5357" w:rsidRDefault="00B83652" w:rsidP="000E1540">
      <w:pPr>
        <w:spacing w:after="0" w:line="240" w:lineRule="auto"/>
        <w:jc w:val="center"/>
        <w:rPr>
          <w:rFonts w:ascii="Calibri" w:eastAsia="Calibri" w:hAnsi="Calibri" w:cs="Times New Roman"/>
          <w:i/>
          <w:iCs/>
          <w:color w:val="808080" w:themeColor="text1" w:themeTint="7F"/>
          <w:sz w:val="20"/>
          <w:szCs w:val="20"/>
        </w:rPr>
      </w:pPr>
      <w:r>
        <w:rPr>
          <w:rFonts w:ascii="Calibri" w:eastAsia="Calibri" w:hAnsi="Calibri" w:cs="Times New Roman"/>
          <w:i/>
          <w:iCs/>
          <w:color w:val="808080" w:themeColor="text1" w:themeTint="7F"/>
          <w:sz w:val="20"/>
          <w:szCs w:val="20"/>
        </w:rPr>
        <w:t>(val.</w:t>
      </w:r>
      <w:r w:rsidR="003037D3">
        <w:rPr>
          <w:rFonts w:ascii="Calibri" w:eastAsia="Calibri" w:hAnsi="Calibri" w:cs="Times New Roman"/>
          <w:i/>
          <w:iCs/>
          <w:color w:val="808080" w:themeColor="text1" w:themeTint="7F"/>
          <w:sz w:val="20"/>
          <w:szCs w:val="20"/>
        </w:rPr>
        <w:t xml:space="preserve"> </w:t>
      </w:r>
      <w:r>
        <w:rPr>
          <w:rFonts w:ascii="Calibri" w:eastAsia="Calibri" w:hAnsi="Calibri" w:cs="Times New Roman"/>
          <w:i/>
          <w:iCs/>
          <w:color w:val="808080" w:themeColor="text1" w:themeTint="7F"/>
          <w:sz w:val="20"/>
          <w:szCs w:val="20"/>
        </w:rPr>
        <w:t>in €)</w:t>
      </w:r>
    </w:p>
    <w:tbl>
      <w:tblPr>
        <w:tblStyle w:val="Grigliatabella"/>
        <w:tblW w:w="5000" w:type="pct"/>
        <w:tblInd w:w="0" w:type="dxa"/>
        <w:tblLook w:val="04A0" w:firstRow="1" w:lastRow="0" w:firstColumn="1" w:lastColumn="0" w:noHBand="0" w:noVBand="1"/>
      </w:tblPr>
      <w:tblGrid>
        <w:gridCol w:w="2517"/>
        <w:gridCol w:w="1577"/>
        <w:gridCol w:w="1401"/>
        <w:gridCol w:w="2532"/>
        <w:gridCol w:w="1827"/>
      </w:tblGrid>
      <w:tr w:rsidR="00B83652" w:rsidRPr="00DF0224" w:rsidTr="00DF0224">
        <w:tc>
          <w:tcPr>
            <w:tcW w:w="1277"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83652" w:rsidRPr="00DF0224" w:rsidRDefault="00B83652" w:rsidP="007C5357">
            <w:pPr>
              <w:jc w:val="center"/>
              <w:rPr>
                <w:b/>
                <w:i/>
                <w:iCs/>
                <w:color w:val="808080" w:themeColor="text1" w:themeTint="7F"/>
                <w:sz w:val="18"/>
                <w:szCs w:val="18"/>
              </w:rPr>
            </w:pPr>
            <w:r w:rsidRPr="00DF0224">
              <w:rPr>
                <w:b/>
                <w:i/>
                <w:iCs/>
                <w:color w:val="808080" w:themeColor="text1" w:themeTint="7F"/>
                <w:sz w:val="18"/>
                <w:szCs w:val="18"/>
              </w:rPr>
              <w:t>Retribuzione lorda -imponibile previdenziale</w:t>
            </w:r>
          </w:p>
        </w:tc>
        <w:tc>
          <w:tcPr>
            <w:tcW w:w="800"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83652" w:rsidRPr="00DF0224" w:rsidRDefault="00B83652" w:rsidP="007C5357">
            <w:pPr>
              <w:jc w:val="center"/>
              <w:rPr>
                <w:b/>
                <w:i/>
                <w:iCs/>
                <w:color w:val="808080" w:themeColor="text1" w:themeTint="7F"/>
                <w:sz w:val="18"/>
                <w:szCs w:val="18"/>
              </w:rPr>
            </w:pPr>
            <w:r w:rsidRPr="00DF0224">
              <w:rPr>
                <w:b/>
                <w:i/>
                <w:iCs/>
                <w:color w:val="808080" w:themeColor="text1" w:themeTint="7F"/>
                <w:sz w:val="18"/>
                <w:szCs w:val="18"/>
              </w:rPr>
              <w:t>T.INDET</w:t>
            </w:r>
          </w:p>
          <w:p w:rsidR="00B83652" w:rsidRPr="00DF0224" w:rsidRDefault="00B83652" w:rsidP="007C5357">
            <w:pPr>
              <w:jc w:val="center"/>
              <w:rPr>
                <w:b/>
                <w:i/>
                <w:iCs/>
                <w:color w:val="808080" w:themeColor="text1" w:themeTint="7F"/>
                <w:sz w:val="18"/>
                <w:szCs w:val="18"/>
              </w:rPr>
            </w:pPr>
          </w:p>
        </w:tc>
        <w:tc>
          <w:tcPr>
            <w:tcW w:w="711"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83652" w:rsidRPr="00DF0224" w:rsidRDefault="00B83652" w:rsidP="00B83652">
            <w:pPr>
              <w:jc w:val="center"/>
              <w:rPr>
                <w:b/>
                <w:i/>
                <w:iCs/>
                <w:color w:val="808080" w:themeColor="text1" w:themeTint="7F"/>
                <w:sz w:val="18"/>
                <w:szCs w:val="18"/>
              </w:rPr>
            </w:pPr>
            <w:r w:rsidRPr="00DF0224">
              <w:rPr>
                <w:b/>
                <w:i/>
                <w:iCs/>
                <w:color w:val="808080" w:themeColor="text1" w:themeTint="7F"/>
                <w:sz w:val="18"/>
                <w:szCs w:val="18"/>
              </w:rPr>
              <w:t>T.DET.</w:t>
            </w:r>
          </w:p>
          <w:p w:rsidR="00B83652" w:rsidRPr="00DF0224" w:rsidRDefault="00B83652" w:rsidP="00B83652">
            <w:pPr>
              <w:jc w:val="center"/>
              <w:rPr>
                <w:b/>
                <w:i/>
                <w:iCs/>
                <w:color w:val="808080" w:themeColor="text1" w:themeTint="7F"/>
                <w:sz w:val="18"/>
                <w:szCs w:val="18"/>
              </w:rPr>
            </w:pPr>
            <w:r w:rsidRPr="00DF0224">
              <w:rPr>
                <w:b/>
                <w:i/>
                <w:iCs/>
                <w:color w:val="808080" w:themeColor="text1" w:themeTint="7F"/>
                <w:sz w:val="18"/>
                <w:szCs w:val="18"/>
              </w:rPr>
              <w:t>1° contratto</w:t>
            </w:r>
          </w:p>
        </w:tc>
        <w:tc>
          <w:tcPr>
            <w:tcW w:w="1285"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B83652" w:rsidRPr="00DF0224" w:rsidRDefault="00B83652" w:rsidP="00B83652">
            <w:pPr>
              <w:jc w:val="center"/>
              <w:rPr>
                <w:b/>
                <w:i/>
                <w:iCs/>
                <w:color w:val="808080" w:themeColor="text1" w:themeTint="7F"/>
                <w:sz w:val="18"/>
                <w:szCs w:val="18"/>
              </w:rPr>
            </w:pPr>
            <w:r w:rsidRPr="00DF0224">
              <w:rPr>
                <w:b/>
                <w:i/>
                <w:iCs/>
                <w:color w:val="808080" w:themeColor="text1" w:themeTint="7F"/>
                <w:sz w:val="18"/>
                <w:szCs w:val="18"/>
              </w:rPr>
              <w:t>T.DET.</w:t>
            </w:r>
          </w:p>
          <w:p w:rsidR="00DF0224" w:rsidRDefault="00B83652" w:rsidP="00B83652">
            <w:pPr>
              <w:jc w:val="center"/>
              <w:rPr>
                <w:b/>
                <w:i/>
                <w:iCs/>
                <w:color w:val="808080" w:themeColor="text1" w:themeTint="7F"/>
                <w:sz w:val="18"/>
                <w:szCs w:val="18"/>
              </w:rPr>
            </w:pPr>
            <w:r w:rsidRPr="00DF0224">
              <w:rPr>
                <w:b/>
                <w:i/>
                <w:iCs/>
                <w:color w:val="808080" w:themeColor="text1" w:themeTint="7F"/>
                <w:sz w:val="18"/>
                <w:szCs w:val="18"/>
              </w:rPr>
              <w:t xml:space="preserve">1° contratto </w:t>
            </w:r>
            <w:r w:rsidR="00C258DA" w:rsidRPr="00DF0224">
              <w:rPr>
                <w:b/>
                <w:i/>
                <w:iCs/>
                <w:color w:val="808080" w:themeColor="text1" w:themeTint="7F"/>
                <w:sz w:val="18"/>
                <w:szCs w:val="18"/>
              </w:rPr>
              <w:t xml:space="preserve">“acausale” </w:t>
            </w:r>
          </w:p>
          <w:p w:rsidR="00B83652" w:rsidRPr="00DF0224" w:rsidRDefault="00B83652" w:rsidP="00B83652">
            <w:pPr>
              <w:jc w:val="center"/>
              <w:rPr>
                <w:b/>
                <w:i/>
                <w:iCs/>
                <w:color w:val="808080" w:themeColor="text1" w:themeTint="7F"/>
                <w:sz w:val="18"/>
                <w:szCs w:val="18"/>
              </w:rPr>
            </w:pPr>
            <w:r w:rsidRPr="00DF0224">
              <w:rPr>
                <w:b/>
                <w:i/>
                <w:iCs/>
                <w:color w:val="808080" w:themeColor="text1" w:themeTint="7F"/>
                <w:sz w:val="18"/>
                <w:szCs w:val="18"/>
              </w:rPr>
              <w:t>(fino a</w:t>
            </w:r>
            <w:r w:rsidR="00DF0224">
              <w:rPr>
                <w:b/>
                <w:i/>
                <w:iCs/>
                <w:color w:val="808080" w:themeColor="text1" w:themeTint="7F"/>
                <w:sz w:val="18"/>
                <w:szCs w:val="18"/>
              </w:rPr>
              <w:t xml:space="preserve">d un max di </w:t>
            </w:r>
            <w:r w:rsidRPr="00DF0224">
              <w:rPr>
                <w:b/>
                <w:i/>
                <w:iCs/>
                <w:color w:val="808080" w:themeColor="text1" w:themeTint="7F"/>
                <w:sz w:val="18"/>
                <w:szCs w:val="18"/>
              </w:rPr>
              <w:t xml:space="preserve"> 12 mesi)</w:t>
            </w:r>
          </w:p>
        </w:tc>
        <w:tc>
          <w:tcPr>
            <w:tcW w:w="927"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83652" w:rsidRPr="00DF0224" w:rsidRDefault="00B83652" w:rsidP="007C5357">
            <w:pPr>
              <w:jc w:val="center"/>
              <w:rPr>
                <w:b/>
                <w:i/>
                <w:iCs/>
                <w:color w:val="808080" w:themeColor="text1" w:themeTint="7F"/>
                <w:sz w:val="18"/>
                <w:szCs w:val="18"/>
              </w:rPr>
            </w:pPr>
            <w:r w:rsidRPr="00DF0224">
              <w:rPr>
                <w:b/>
                <w:i/>
                <w:iCs/>
                <w:color w:val="808080" w:themeColor="text1" w:themeTint="7F"/>
                <w:sz w:val="18"/>
                <w:szCs w:val="18"/>
              </w:rPr>
              <w:t>T.DET.</w:t>
            </w:r>
          </w:p>
          <w:p w:rsidR="00C258DA" w:rsidRPr="00DF0224" w:rsidRDefault="00B83652" w:rsidP="00B83652">
            <w:pPr>
              <w:jc w:val="center"/>
              <w:rPr>
                <w:b/>
                <w:i/>
                <w:iCs/>
                <w:color w:val="808080" w:themeColor="text1" w:themeTint="7F"/>
                <w:sz w:val="18"/>
                <w:szCs w:val="18"/>
              </w:rPr>
            </w:pPr>
            <w:r w:rsidRPr="00DF0224">
              <w:rPr>
                <w:b/>
                <w:i/>
                <w:iCs/>
                <w:color w:val="808080" w:themeColor="text1" w:themeTint="7F"/>
                <w:sz w:val="18"/>
                <w:szCs w:val="18"/>
              </w:rPr>
              <w:t xml:space="preserve">Dal 1° rinnovo </w:t>
            </w:r>
            <w:r w:rsidR="00C258DA" w:rsidRPr="00DF0224">
              <w:rPr>
                <w:b/>
                <w:i/>
                <w:iCs/>
                <w:color w:val="808080" w:themeColor="text1" w:themeTint="7F"/>
                <w:sz w:val="18"/>
                <w:szCs w:val="18"/>
              </w:rPr>
              <w:t xml:space="preserve">“causale” </w:t>
            </w:r>
          </w:p>
          <w:p w:rsidR="00B83652" w:rsidRPr="00DF0224" w:rsidRDefault="00B83652" w:rsidP="00B83652">
            <w:pPr>
              <w:jc w:val="center"/>
              <w:rPr>
                <w:b/>
                <w:i/>
                <w:iCs/>
                <w:color w:val="808080" w:themeColor="text1" w:themeTint="7F"/>
                <w:sz w:val="18"/>
                <w:szCs w:val="18"/>
              </w:rPr>
            </w:pPr>
            <w:r w:rsidRPr="00DF0224">
              <w:rPr>
                <w:b/>
                <w:i/>
                <w:iCs/>
                <w:color w:val="808080" w:themeColor="text1" w:themeTint="7F"/>
                <w:sz w:val="18"/>
                <w:szCs w:val="18"/>
              </w:rPr>
              <w:t>del contratto a T.D.</w:t>
            </w:r>
          </w:p>
        </w:tc>
      </w:tr>
      <w:tr w:rsidR="00B83652" w:rsidRPr="00A43E13" w:rsidTr="00DF0224">
        <w:tc>
          <w:tcPr>
            <w:tcW w:w="1277" w:type="pct"/>
            <w:tcBorders>
              <w:top w:val="single" w:sz="4" w:space="0" w:color="auto"/>
              <w:left w:val="single" w:sz="4" w:space="0" w:color="auto"/>
              <w:bottom w:val="single" w:sz="4" w:space="0" w:color="auto"/>
              <w:right w:val="single" w:sz="4" w:space="0" w:color="auto"/>
            </w:tcBorders>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Retribuzione lorda mensile</w:t>
            </w:r>
          </w:p>
        </w:tc>
        <w:tc>
          <w:tcPr>
            <w:tcW w:w="800" w:type="pct"/>
            <w:tcBorders>
              <w:top w:val="single" w:sz="4" w:space="0" w:color="auto"/>
              <w:left w:val="single" w:sz="4" w:space="0" w:color="auto"/>
              <w:bottom w:val="single" w:sz="4" w:space="0" w:color="auto"/>
              <w:right w:val="single" w:sz="4" w:space="0" w:color="auto"/>
            </w:tcBorders>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1.846</w:t>
            </w:r>
          </w:p>
        </w:tc>
        <w:tc>
          <w:tcPr>
            <w:tcW w:w="711" w:type="pct"/>
            <w:tcBorders>
              <w:top w:val="single" w:sz="4" w:space="0" w:color="auto"/>
              <w:left w:val="single" w:sz="4" w:space="0" w:color="auto"/>
              <w:bottom w:val="single" w:sz="4" w:space="0" w:color="auto"/>
              <w:right w:val="single" w:sz="4" w:space="0" w:color="auto"/>
            </w:tcBorders>
          </w:tcPr>
          <w:p w:rsidR="00B83652" w:rsidRPr="00A43E13" w:rsidRDefault="00B83652" w:rsidP="006645A3">
            <w:pPr>
              <w:rPr>
                <w:i/>
                <w:iCs/>
                <w:color w:val="808080" w:themeColor="text1" w:themeTint="7F"/>
                <w:sz w:val="18"/>
                <w:szCs w:val="18"/>
              </w:rPr>
            </w:pPr>
            <w:r w:rsidRPr="00A43E13">
              <w:rPr>
                <w:i/>
                <w:iCs/>
                <w:color w:val="808080" w:themeColor="text1" w:themeTint="7F"/>
                <w:sz w:val="18"/>
                <w:szCs w:val="18"/>
              </w:rPr>
              <w:t>1.846</w:t>
            </w:r>
          </w:p>
        </w:tc>
        <w:tc>
          <w:tcPr>
            <w:tcW w:w="1285" w:type="pct"/>
            <w:tcBorders>
              <w:top w:val="single" w:sz="4" w:space="0" w:color="auto"/>
              <w:left w:val="single" w:sz="4" w:space="0" w:color="auto"/>
              <w:bottom w:val="single" w:sz="4" w:space="0" w:color="auto"/>
              <w:right w:val="single" w:sz="4" w:space="0" w:color="auto"/>
            </w:tcBorders>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1.846</w:t>
            </w:r>
          </w:p>
        </w:tc>
        <w:tc>
          <w:tcPr>
            <w:tcW w:w="927" w:type="pct"/>
            <w:tcBorders>
              <w:top w:val="single" w:sz="4" w:space="0" w:color="auto"/>
              <w:left w:val="single" w:sz="4" w:space="0" w:color="auto"/>
              <w:bottom w:val="single" w:sz="4" w:space="0" w:color="auto"/>
              <w:right w:val="single" w:sz="4" w:space="0" w:color="auto"/>
            </w:tcBorders>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1.846</w:t>
            </w:r>
          </w:p>
        </w:tc>
      </w:tr>
      <w:tr w:rsidR="00B83652" w:rsidRPr="00A43E13" w:rsidTr="00DF0224">
        <w:tc>
          <w:tcPr>
            <w:tcW w:w="1277" w:type="pct"/>
            <w:tcBorders>
              <w:top w:val="single" w:sz="4" w:space="0" w:color="auto"/>
              <w:left w:val="single" w:sz="4" w:space="0" w:color="auto"/>
              <w:bottom w:val="single" w:sz="4" w:space="0" w:color="auto"/>
              <w:right w:val="single" w:sz="4" w:space="0" w:color="auto"/>
            </w:tcBorders>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Contributi carico azienda (33%)</w:t>
            </w:r>
          </w:p>
        </w:tc>
        <w:tc>
          <w:tcPr>
            <w:tcW w:w="800" w:type="pct"/>
            <w:tcBorders>
              <w:top w:val="single" w:sz="4" w:space="0" w:color="auto"/>
              <w:left w:val="single" w:sz="4" w:space="0" w:color="auto"/>
              <w:bottom w:val="single" w:sz="4" w:space="0" w:color="auto"/>
              <w:right w:val="single" w:sz="4" w:space="0" w:color="auto"/>
            </w:tcBorders>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609</w:t>
            </w:r>
          </w:p>
        </w:tc>
        <w:tc>
          <w:tcPr>
            <w:tcW w:w="711" w:type="pct"/>
            <w:tcBorders>
              <w:top w:val="single" w:sz="4" w:space="0" w:color="auto"/>
              <w:left w:val="single" w:sz="4" w:space="0" w:color="auto"/>
              <w:bottom w:val="single" w:sz="4" w:space="0" w:color="auto"/>
              <w:right w:val="single" w:sz="4" w:space="0" w:color="auto"/>
            </w:tcBorders>
          </w:tcPr>
          <w:p w:rsidR="00B83652" w:rsidRPr="00A43E13" w:rsidRDefault="00B83652" w:rsidP="006645A3">
            <w:pPr>
              <w:rPr>
                <w:i/>
                <w:iCs/>
                <w:color w:val="808080" w:themeColor="text1" w:themeTint="7F"/>
                <w:sz w:val="18"/>
                <w:szCs w:val="18"/>
              </w:rPr>
            </w:pPr>
            <w:r w:rsidRPr="00A43E13">
              <w:rPr>
                <w:i/>
                <w:iCs/>
                <w:color w:val="808080" w:themeColor="text1" w:themeTint="7F"/>
                <w:sz w:val="18"/>
                <w:szCs w:val="18"/>
              </w:rPr>
              <w:t>609</w:t>
            </w:r>
          </w:p>
        </w:tc>
        <w:tc>
          <w:tcPr>
            <w:tcW w:w="1285" w:type="pct"/>
            <w:tcBorders>
              <w:top w:val="single" w:sz="4" w:space="0" w:color="auto"/>
              <w:left w:val="single" w:sz="4" w:space="0" w:color="auto"/>
              <w:bottom w:val="single" w:sz="4" w:space="0" w:color="auto"/>
              <w:right w:val="single" w:sz="4" w:space="0" w:color="auto"/>
            </w:tcBorders>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609</w:t>
            </w:r>
          </w:p>
        </w:tc>
        <w:tc>
          <w:tcPr>
            <w:tcW w:w="927" w:type="pct"/>
            <w:tcBorders>
              <w:top w:val="single" w:sz="4" w:space="0" w:color="auto"/>
              <w:left w:val="single" w:sz="4" w:space="0" w:color="auto"/>
              <w:bottom w:val="single" w:sz="4" w:space="0" w:color="auto"/>
              <w:right w:val="single" w:sz="4" w:space="0" w:color="auto"/>
            </w:tcBorders>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609</w:t>
            </w:r>
          </w:p>
        </w:tc>
      </w:tr>
      <w:tr w:rsidR="00B83652" w:rsidRPr="00A43E13" w:rsidTr="00DF0224">
        <w:tc>
          <w:tcPr>
            <w:tcW w:w="1277" w:type="pct"/>
            <w:tcBorders>
              <w:top w:val="single" w:sz="4" w:space="0" w:color="auto"/>
              <w:left w:val="single" w:sz="4" w:space="0" w:color="auto"/>
              <w:bottom w:val="single" w:sz="4" w:space="0" w:color="auto"/>
              <w:right w:val="single" w:sz="4" w:space="0" w:color="auto"/>
            </w:tcBorders>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Addizionale contributivo</w:t>
            </w:r>
          </w:p>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(1,4% introdotto L.92/12)</w:t>
            </w:r>
          </w:p>
        </w:tc>
        <w:tc>
          <w:tcPr>
            <w:tcW w:w="800" w:type="pct"/>
            <w:tcBorders>
              <w:top w:val="single" w:sz="4" w:space="0" w:color="auto"/>
              <w:left w:val="single" w:sz="4" w:space="0" w:color="auto"/>
              <w:bottom w:val="single" w:sz="4" w:space="0" w:color="auto"/>
              <w:right w:val="single" w:sz="4" w:space="0" w:color="auto"/>
            </w:tcBorders>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w:t>
            </w:r>
          </w:p>
        </w:tc>
        <w:tc>
          <w:tcPr>
            <w:tcW w:w="711" w:type="pct"/>
            <w:tcBorders>
              <w:top w:val="single" w:sz="4" w:space="0" w:color="auto"/>
              <w:left w:val="single" w:sz="4" w:space="0" w:color="auto"/>
              <w:bottom w:val="single" w:sz="4" w:space="0" w:color="auto"/>
              <w:right w:val="single" w:sz="4" w:space="0" w:color="auto"/>
            </w:tcBorders>
          </w:tcPr>
          <w:p w:rsidR="00B83652" w:rsidRPr="00A43E13" w:rsidRDefault="00B83652" w:rsidP="006645A3">
            <w:pPr>
              <w:rPr>
                <w:i/>
                <w:iCs/>
                <w:color w:val="808080" w:themeColor="text1" w:themeTint="7F"/>
                <w:sz w:val="18"/>
                <w:szCs w:val="18"/>
              </w:rPr>
            </w:pPr>
            <w:r w:rsidRPr="00A43E13">
              <w:rPr>
                <w:i/>
                <w:iCs/>
                <w:color w:val="808080" w:themeColor="text1" w:themeTint="7F"/>
                <w:sz w:val="18"/>
                <w:szCs w:val="18"/>
              </w:rPr>
              <w:t>26</w:t>
            </w:r>
          </w:p>
        </w:tc>
        <w:tc>
          <w:tcPr>
            <w:tcW w:w="1285" w:type="pct"/>
            <w:tcBorders>
              <w:top w:val="single" w:sz="4" w:space="0" w:color="auto"/>
              <w:left w:val="single" w:sz="4" w:space="0" w:color="auto"/>
              <w:bottom w:val="single" w:sz="4" w:space="0" w:color="auto"/>
              <w:right w:val="single" w:sz="4" w:space="0" w:color="auto"/>
            </w:tcBorders>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26</w:t>
            </w:r>
          </w:p>
        </w:tc>
        <w:tc>
          <w:tcPr>
            <w:tcW w:w="927" w:type="pct"/>
            <w:tcBorders>
              <w:top w:val="single" w:sz="4" w:space="0" w:color="auto"/>
              <w:left w:val="single" w:sz="4" w:space="0" w:color="auto"/>
              <w:bottom w:val="single" w:sz="4" w:space="0" w:color="auto"/>
              <w:right w:val="single" w:sz="4" w:space="0" w:color="auto"/>
            </w:tcBorders>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26</w:t>
            </w:r>
          </w:p>
        </w:tc>
      </w:tr>
      <w:tr w:rsidR="00B83652" w:rsidRPr="00A43E13" w:rsidTr="00DF0224">
        <w:tc>
          <w:tcPr>
            <w:tcW w:w="127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83652" w:rsidRPr="00A43E13" w:rsidRDefault="00B83652" w:rsidP="007C5357">
            <w:pPr>
              <w:rPr>
                <w:b/>
                <w:i/>
                <w:iCs/>
                <w:color w:val="808080" w:themeColor="text1" w:themeTint="7F"/>
                <w:sz w:val="18"/>
                <w:szCs w:val="18"/>
              </w:rPr>
            </w:pPr>
            <w:r w:rsidRPr="00A43E13">
              <w:rPr>
                <w:b/>
                <w:i/>
                <w:iCs/>
                <w:color w:val="808080" w:themeColor="text1" w:themeTint="7F"/>
                <w:sz w:val="18"/>
                <w:szCs w:val="18"/>
              </w:rPr>
              <w:t>Addizionale contributivo</w:t>
            </w:r>
          </w:p>
          <w:p w:rsidR="00B83652" w:rsidRPr="00A43E13" w:rsidRDefault="00B83652" w:rsidP="007C5357">
            <w:pPr>
              <w:rPr>
                <w:b/>
                <w:i/>
                <w:iCs/>
                <w:color w:val="808080" w:themeColor="text1" w:themeTint="7F"/>
                <w:sz w:val="18"/>
                <w:szCs w:val="18"/>
              </w:rPr>
            </w:pPr>
            <w:r w:rsidRPr="00A43E13">
              <w:rPr>
                <w:b/>
                <w:i/>
                <w:iCs/>
                <w:color w:val="808080" w:themeColor="text1" w:themeTint="7F"/>
                <w:sz w:val="18"/>
                <w:szCs w:val="18"/>
              </w:rPr>
              <w:t>(0,5% del Decreto Dignità 2018)</w:t>
            </w:r>
          </w:p>
        </w:tc>
        <w:tc>
          <w:tcPr>
            <w:tcW w:w="80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83652" w:rsidRPr="00A43E13" w:rsidRDefault="00B83652" w:rsidP="007C5357">
            <w:pPr>
              <w:rPr>
                <w:b/>
                <w:i/>
                <w:iCs/>
                <w:color w:val="808080" w:themeColor="text1" w:themeTint="7F"/>
                <w:sz w:val="18"/>
                <w:szCs w:val="18"/>
              </w:rPr>
            </w:pPr>
            <w:r w:rsidRPr="00A43E13">
              <w:rPr>
                <w:b/>
                <w:i/>
                <w:iCs/>
                <w:color w:val="808080" w:themeColor="text1" w:themeTint="7F"/>
                <w:sz w:val="18"/>
                <w:szCs w:val="18"/>
              </w:rPr>
              <w:t>/</w:t>
            </w:r>
          </w:p>
        </w:tc>
        <w:tc>
          <w:tcPr>
            <w:tcW w:w="71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83652" w:rsidRPr="00A43E13" w:rsidRDefault="00B83652" w:rsidP="006645A3">
            <w:pPr>
              <w:rPr>
                <w:b/>
                <w:i/>
                <w:iCs/>
                <w:color w:val="808080" w:themeColor="text1" w:themeTint="7F"/>
                <w:sz w:val="18"/>
                <w:szCs w:val="18"/>
              </w:rPr>
            </w:pPr>
            <w:r w:rsidRPr="00A43E13">
              <w:rPr>
                <w:b/>
                <w:i/>
                <w:iCs/>
                <w:color w:val="808080" w:themeColor="text1" w:themeTint="7F"/>
                <w:sz w:val="18"/>
                <w:szCs w:val="18"/>
              </w:rPr>
              <w:t>/</w:t>
            </w:r>
          </w:p>
        </w:tc>
        <w:tc>
          <w:tcPr>
            <w:tcW w:w="1285"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83652" w:rsidRPr="00A43E13" w:rsidRDefault="00B83652" w:rsidP="007C5357">
            <w:pPr>
              <w:rPr>
                <w:b/>
                <w:i/>
                <w:iCs/>
                <w:color w:val="808080" w:themeColor="text1" w:themeTint="7F"/>
                <w:sz w:val="18"/>
                <w:szCs w:val="18"/>
              </w:rPr>
            </w:pPr>
            <w:r w:rsidRPr="00A43E13">
              <w:rPr>
                <w:b/>
                <w:i/>
                <w:iCs/>
                <w:color w:val="808080" w:themeColor="text1" w:themeTint="7F"/>
                <w:sz w:val="18"/>
                <w:szCs w:val="18"/>
              </w:rPr>
              <w:t>/</w:t>
            </w:r>
          </w:p>
        </w:tc>
        <w:tc>
          <w:tcPr>
            <w:tcW w:w="927"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B83652" w:rsidRPr="00A43E13" w:rsidRDefault="00B83652" w:rsidP="007C5357">
            <w:pPr>
              <w:rPr>
                <w:b/>
                <w:i/>
                <w:iCs/>
                <w:color w:val="808080" w:themeColor="text1" w:themeTint="7F"/>
                <w:sz w:val="18"/>
                <w:szCs w:val="18"/>
              </w:rPr>
            </w:pPr>
            <w:r w:rsidRPr="00A43E13">
              <w:rPr>
                <w:b/>
                <w:i/>
                <w:iCs/>
                <w:color w:val="808080" w:themeColor="text1" w:themeTint="7F"/>
                <w:sz w:val="18"/>
                <w:szCs w:val="18"/>
              </w:rPr>
              <w:t>9</w:t>
            </w:r>
          </w:p>
        </w:tc>
      </w:tr>
      <w:tr w:rsidR="00B83652" w:rsidRPr="00A43E13" w:rsidTr="00DF0224">
        <w:tc>
          <w:tcPr>
            <w:tcW w:w="1277" w:type="pct"/>
            <w:tcBorders>
              <w:top w:val="single" w:sz="4" w:space="0" w:color="auto"/>
              <w:left w:val="single" w:sz="4" w:space="0" w:color="auto"/>
              <w:bottom w:val="single" w:sz="4" w:space="0" w:color="auto"/>
              <w:right w:val="single" w:sz="4" w:space="0" w:color="auto"/>
            </w:tcBorders>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Irap</w:t>
            </w:r>
          </w:p>
        </w:tc>
        <w:tc>
          <w:tcPr>
            <w:tcW w:w="800" w:type="pct"/>
            <w:tcBorders>
              <w:top w:val="single" w:sz="4" w:space="0" w:color="auto"/>
              <w:left w:val="single" w:sz="4" w:space="0" w:color="auto"/>
              <w:bottom w:val="single" w:sz="4" w:space="0" w:color="auto"/>
              <w:right w:val="single" w:sz="4" w:space="0" w:color="auto"/>
            </w:tcBorders>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w:t>
            </w:r>
          </w:p>
        </w:tc>
        <w:tc>
          <w:tcPr>
            <w:tcW w:w="711" w:type="pct"/>
            <w:tcBorders>
              <w:top w:val="single" w:sz="4" w:space="0" w:color="auto"/>
              <w:left w:val="single" w:sz="4" w:space="0" w:color="auto"/>
              <w:bottom w:val="single" w:sz="4" w:space="0" w:color="auto"/>
              <w:right w:val="single" w:sz="4" w:space="0" w:color="auto"/>
            </w:tcBorders>
          </w:tcPr>
          <w:p w:rsidR="00B83652" w:rsidRPr="00A43E13" w:rsidRDefault="00B83652" w:rsidP="006645A3">
            <w:pPr>
              <w:rPr>
                <w:i/>
                <w:iCs/>
                <w:color w:val="808080" w:themeColor="text1" w:themeTint="7F"/>
                <w:sz w:val="18"/>
                <w:szCs w:val="18"/>
              </w:rPr>
            </w:pPr>
            <w:r w:rsidRPr="00A43E13">
              <w:rPr>
                <w:i/>
                <w:iCs/>
                <w:color w:val="808080" w:themeColor="text1" w:themeTint="7F"/>
                <w:sz w:val="18"/>
                <w:szCs w:val="18"/>
              </w:rPr>
              <w:t>72</w:t>
            </w:r>
          </w:p>
        </w:tc>
        <w:tc>
          <w:tcPr>
            <w:tcW w:w="1285" w:type="pct"/>
            <w:tcBorders>
              <w:top w:val="single" w:sz="4" w:space="0" w:color="auto"/>
              <w:left w:val="single" w:sz="4" w:space="0" w:color="auto"/>
              <w:bottom w:val="single" w:sz="4" w:space="0" w:color="auto"/>
              <w:right w:val="single" w:sz="4" w:space="0" w:color="auto"/>
            </w:tcBorders>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72</w:t>
            </w:r>
          </w:p>
        </w:tc>
        <w:tc>
          <w:tcPr>
            <w:tcW w:w="927" w:type="pct"/>
            <w:tcBorders>
              <w:top w:val="single" w:sz="4" w:space="0" w:color="auto"/>
              <w:left w:val="single" w:sz="4" w:space="0" w:color="auto"/>
              <w:bottom w:val="single" w:sz="4" w:space="0" w:color="auto"/>
              <w:right w:val="single" w:sz="4" w:space="0" w:color="auto"/>
            </w:tcBorders>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72</w:t>
            </w:r>
          </w:p>
        </w:tc>
      </w:tr>
      <w:tr w:rsidR="00B83652" w:rsidRPr="00A43E13" w:rsidTr="00DF0224">
        <w:tc>
          <w:tcPr>
            <w:tcW w:w="1277"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 xml:space="preserve">TOTALE </w:t>
            </w:r>
          </w:p>
        </w:tc>
        <w:tc>
          <w:tcPr>
            <w:tcW w:w="800"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2.455</w:t>
            </w:r>
          </w:p>
        </w:tc>
        <w:tc>
          <w:tcPr>
            <w:tcW w:w="711"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B83652" w:rsidRPr="00A43E13" w:rsidRDefault="00B83652" w:rsidP="006645A3">
            <w:pPr>
              <w:rPr>
                <w:i/>
                <w:iCs/>
                <w:color w:val="808080" w:themeColor="text1" w:themeTint="7F"/>
                <w:sz w:val="18"/>
                <w:szCs w:val="18"/>
              </w:rPr>
            </w:pPr>
            <w:r w:rsidRPr="00A43E13">
              <w:rPr>
                <w:i/>
                <w:iCs/>
                <w:color w:val="808080" w:themeColor="text1" w:themeTint="7F"/>
                <w:sz w:val="18"/>
                <w:szCs w:val="18"/>
              </w:rPr>
              <w:t>2.553</w:t>
            </w:r>
          </w:p>
        </w:tc>
        <w:tc>
          <w:tcPr>
            <w:tcW w:w="1285"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2.553</w:t>
            </w:r>
          </w:p>
        </w:tc>
        <w:tc>
          <w:tcPr>
            <w:tcW w:w="92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2.562</w:t>
            </w:r>
          </w:p>
        </w:tc>
      </w:tr>
      <w:tr w:rsidR="00B83652" w:rsidRPr="00A43E13" w:rsidTr="00DF0224">
        <w:tc>
          <w:tcPr>
            <w:tcW w:w="1277"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Totale annuo</w:t>
            </w:r>
          </w:p>
        </w:tc>
        <w:tc>
          <w:tcPr>
            <w:tcW w:w="800"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31.915</w:t>
            </w:r>
          </w:p>
        </w:tc>
        <w:tc>
          <w:tcPr>
            <w:tcW w:w="711"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B83652" w:rsidRPr="00A43E13" w:rsidRDefault="00B83652" w:rsidP="006645A3">
            <w:pPr>
              <w:rPr>
                <w:i/>
                <w:iCs/>
                <w:color w:val="808080" w:themeColor="text1" w:themeTint="7F"/>
                <w:sz w:val="18"/>
                <w:szCs w:val="18"/>
              </w:rPr>
            </w:pPr>
            <w:r w:rsidRPr="00A43E13">
              <w:rPr>
                <w:i/>
                <w:iCs/>
                <w:color w:val="808080" w:themeColor="text1" w:themeTint="7F"/>
                <w:sz w:val="18"/>
                <w:szCs w:val="18"/>
              </w:rPr>
              <w:t>33.189</w:t>
            </w:r>
          </w:p>
        </w:tc>
        <w:tc>
          <w:tcPr>
            <w:tcW w:w="1285"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33.189</w:t>
            </w:r>
          </w:p>
        </w:tc>
        <w:tc>
          <w:tcPr>
            <w:tcW w:w="927"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B83652" w:rsidRPr="00A43E13" w:rsidRDefault="00B83652" w:rsidP="007C5357">
            <w:pPr>
              <w:rPr>
                <w:i/>
                <w:iCs/>
                <w:color w:val="808080" w:themeColor="text1" w:themeTint="7F"/>
                <w:sz w:val="18"/>
                <w:szCs w:val="18"/>
              </w:rPr>
            </w:pPr>
            <w:r w:rsidRPr="00A43E13">
              <w:rPr>
                <w:i/>
                <w:iCs/>
                <w:color w:val="808080" w:themeColor="text1" w:themeTint="7F"/>
                <w:sz w:val="18"/>
                <w:szCs w:val="18"/>
              </w:rPr>
              <w:t>33.306</w:t>
            </w:r>
          </w:p>
        </w:tc>
      </w:tr>
    </w:tbl>
    <w:p w:rsidR="007C5357" w:rsidRPr="00966260" w:rsidRDefault="00764BAB" w:rsidP="007C5357">
      <w:pPr>
        <w:spacing w:after="0" w:line="240" w:lineRule="auto"/>
        <w:rPr>
          <w:rFonts w:ascii="Calibri" w:eastAsia="Calibri" w:hAnsi="Calibri" w:cs="Times New Roman"/>
          <w:i/>
          <w:iCs/>
          <w:color w:val="808080" w:themeColor="text1" w:themeTint="7F"/>
          <w:sz w:val="16"/>
          <w:szCs w:val="16"/>
        </w:rPr>
      </w:pPr>
      <w:r w:rsidRPr="00966260">
        <w:rPr>
          <w:rFonts w:ascii="Calibri" w:eastAsia="Calibri" w:hAnsi="Calibri" w:cs="Times New Roman"/>
          <w:i/>
          <w:iCs/>
          <w:color w:val="808080" w:themeColor="text1" w:themeTint="7F"/>
          <w:sz w:val="16"/>
          <w:szCs w:val="16"/>
        </w:rPr>
        <w:t>UIL-Servizio Politiche Attive e Passive del Lavoro</w:t>
      </w:r>
    </w:p>
    <w:p w:rsidR="00764BAB" w:rsidRDefault="00764BAB" w:rsidP="002D32C9">
      <w:pPr>
        <w:spacing w:after="0" w:line="240" w:lineRule="auto"/>
        <w:rPr>
          <w:rStyle w:val="Enfasidelicata"/>
          <w:sz w:val="20"/>
          <w:szCs w:val="20"/>
        </w:rPr>
      </w:pPr>
    </w:p>
    <w:p w:rsidR="002D32C9" w:rsidRDefault="00764BAB" w:rsidP="00FB567C">
      <w:pPr>
        <w:spacing w:after="0" w:line="240" w:lineRule="auto"/>
        <w:jc w:val="both"/>
        <w:rPr>
          <w:rStyle w:val="Enfasidelicata"/>
          <w:sz w:val="20"/>
          <w:szCs w:val="20"/>
        </w:rPr>
      </w:pPr>
      <w:r>
        <w:rPr>
          <w:rStyle w:val="Enfasidelicata"/>
          <w:sz w:val="20"/>
          <w:szCs w:val="20"/>
        </w:rPr>
        <w:t xml:space="preserve">Proviamo a simulare un ulteriore aumento del 2,6% della contribuzione aggiuntiva. Il differenziale </w:t>
      </w:r>
      <w:r w:rsidR="00FB567C">
        <w:rPr>
          <w:rStyle w:val="Enfasidelicata"/>
          <w:sz w:val="20"/>
          <w:szCs w:val="20"/>
        </w:rPr>
        <w:t>tra un contratto standard ed uno temporaneo, sarebbe maggiormente favorevole nel primo caso, con un gap tra i due contratti di complessivi € 146 mensili.</w:t>
      </w:r>
    </w:p>
    <w:p w:rsidR="002373F1" w:rsidRDefault="002373F1" w:rsidP="002D32C9">
      <w:pPr>
        <w:spacing w:after="0" w:line="240" w:lineRule="auto"/>
        <w:rPr>
          <w:rStyle w:val="Enfasidelicata"/>
          <w:sz w:val="20"/>
          <w:szCs w:val="20"/>
        </w:rPr>
      </w:pPr>
    </w:p>
    <w:p w:rsidR="000E1540" w:rsidRDefault="000E1540" w:rsidP="002D32C9">
      <w:pPr>
        <w:spacing w:after="0" w:line="240" w:lineRule="auto"/>
        <w:rPr>
          <w:rStyle w:val="Enfasidelicata"/>
          <w:sz w:val="20"/>
          <w:szCs w:val="20"/>
        </w:rPr>
      </w:pPr>
    </w:p>
    <w:p w:rsidR="000E1540" w:rsidRDefault="000E1540" w:rsidP="002D32C9">
      <w:pPr>
        <w:spacing w:after="0" w:line="240" w:lineRule="auto"/>
        <w:rPr>
          <w:rStyle w:val="Enfasidelicata"/>
          <w:sz w:val="20"/>
          <w:szCs w:val="20"/>
        </w:rPr>
      </w:pPr>
    </w:p>
    <w:p w:rsidR="000E1540" w:rsidRDefault="000E1540" w:rsidP="002D32C9">
      <w:pPr>
        <w:spacing w:after="0" w:line="240" w:lineRule="auto"/>
        <w:rPr>
          <w:rStyle w:val="Enfasidelicata"/>
          <w:sz w:val="20"/>
          <w:szCs w:val="20"/>
        </w:rPr>
      </w:pPr>
    </w:p>
    <w:p w:rsidR="007C5357" w:rsidRPr="007C5357" w:rsidRDefault="002D32C9" w:rsidP="000E1540">
      <w:pPr>
        <w:spacing w:after="0" w:line="240" w:lineRule="auto"/>
        <w:jc w:val="center"/>
        <w:rPr>
          <w:rFonts w:ascii="Calibri" w:eastAsia="Calibri" w:hAnsi="Calibri" w:cs="Times New Roman"/>
          <w:i/>
          <w:iCs/>
          <w:color w:val="808080" w:themeColor="text1" w:themeTint="7F"/>
          <w:sz w:val="20"/>
          <w:szCs w:val="20"/>
        </w:rPr>
      </w:pPr>
      <w:r>
        <w:rPr>
          <w:rStyle w:val="Enfasidelicata"/>
          <w:sz w:val="20"/>
          <w:szCs w:val="20"/>
        </w:rPr>
        <w:lastRenderedPageBreak/>
        <w:t>STIMA UIL del c</w:t>
      </w:r>
      <w:r w:rsidRPr="007C5357">
        <w:rPr>
          <w:rFonts w:ascii="Calibri" w:eastAsia="Calibri" w:hAnsi="Calibri" w:cs="Times New Roman"/>
          <w:i/>
          <w:iCs/>
          <w:color w:val="808080" w:themeColor="text1" w:themeTint="7F"/>
          <w:sz w:val="20"/>
          <w:szCs w:val="20"/>
        </w:rPr>
        <w:t>osto azienda per lavoratore calcolato su una retribuzione lorda annua di 24.000 euro</w:t>
      </w:r>
      <w:r>
        <w:rPr>
          <w:rFonts w:ascii="Calibri" w:eastAsia="Calibri" w:hAnsi="Calibri" w:cs="Times New Roman"/>
          <w:i/>
          <w:iCs/>
          <w:color w:val="808080" w:themeColor="text1" w:themeTint="7F"/>
          <w:sz w:val="20"/>
          <w:szCs w:val="20"/>
        </w:rPr>
        <w:t>: confronto tra contratto a tempo determinato (con aumento del 2,6) e contratto a tempo indeterminato</w:t>
      </w:r>
      <w:r w:rsidR="00B83652">
        <w:rPr>
          <w:rFonts w:ascii="Calibri" w:eastAsia="Calibri" w:hAnsi="Calibri" w:cs="Times New Roman"/>
          <w:i/>
          <w:iCs/>
          <w:color w:val="808080" w:themeColor="text1" w:themeTint="7F"/>
          <w:sz w:val="20"/>
          <w:szCs w:val="20"/>
        </w:rPr>
        <w:t xml:space="preserve"> (val.</w:t>
      </w:r>
      <w:r w:rsidR="003037D3">
        <w:rPr>
          <w:rFonts w:ascii="Calibri" w:eastAsia="Calibri" w:hAnsi="Calibri" w:cs="Times New Roman"/>
          <w:i/>
          <w:iCs/>
          <w:color w:val="808080" w:themeColor="text1" w:themeTint="7F"/>
          <w:sz w:val="20"/>
          <w:szCs w:val="20"/>
        </w:rPr>
        <w:t xml:space="preserve"> </w:t>
      </w:r>
      <w:r w:rsidR="00B83652">
        <w:rPr>
          <w:rFonts w:ascii="Calibri" w:eastAsia="Calibri" w:hAnsi="Calibri" w:cs="Times New Roman"/>
          <w:i/>
          <w:iCs/>
          <w:color w:val="808080" w:themeColor="text1" w:themeTint="7F"/>
          <w:sz w:val="20"/>
          <w:szCs w:val="20"/>
        </w:rPr>
        <w:t>in €)</w:t>
      </w:r>
    </w:p>
    <w:tbl>
      <w:tblPr>
        <w:tblStyle w:val="Grigliatabella"/>
        <w:tblW w:w="5000" w:type="pct"/>
        <w:tblInd w:w="0" w:type="dxa"/>
        <w:tblLook w:val="04A0" w:firstRow="1" w:lastRow="0" w:firstColumn="1" w:lastColumn="0" w:noHBand="0" w:noVBand="1"/>
      </w:tblPr>
      <w:tblGrid>
        <w:gridCol w:w="2554"/>
        <w:gridCol w:w="1598"/>
        <w:gridCol w:w="1342"/>
        <w:gridCol w:w="2507"/>
        <w:gridCol w:w="1853"/>
      </w:tblGrid>
      <w:tr w:rsidR="00A43E13" w:rsidRPr="00DF0224" w:rsidTr="00DF0224">
        <w:tc>
          <w:tcPr>
            <w:tcW w:w="1296"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43E13" w:rsidRPr="00DF0224" w:rsidRDefault="00A43E13" w:rsidP="007C5357">
            <w:pPr>
              <w:jc w:val="center"/>
              <w:rPr>
                <w:b/>
                <w:i/>
                <w:iCs/>
                <w:color w:val="808080" w:themeColor="text1" w:themeTint="7F"/>
                <w:sz w:val="18"/>
                <w:szCs w:val="18"/>
              </w:rPr>
            </w:pPr>
            <w:r w:rsidRPr="00DF0224">
              <w:rPr>
                <w:b/>
                <w:i/>
                <w:iCs/>
                <w:color w:val="808080" w:themeColor="text1" w:themeTint="7F"/>
                <w:sz w:val="18"/>
                <w:szCs w:val="18"/>
              </w:rPr>
              <w:t>Retribuzione lorda -imponibile previdenziale</w:t>
            </w:r>
          </w:p>
        </w:tc>
        <w:tc>
          <w:tcPr>
            <w:tcW w:w="81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43E13" w:rsidRPr="00DF0224" w:rsidRDefault="00A43E13" w:rsidP="007C5357">
            <w:pPr>
              <w:jc w:val="center"/>
              <w:rPr>
                <w:b/>
                <w:i/>
                <w:iCs/>
                <w:color w:val="808080" w:themeColor="text1" w:themeTint="7F"/>
                <w:sz w:val="18"/>
                <w:szCs w:val="18"/>
              </w:rPr>
            </w:pPr>
            <w:r w:rsidRPr="00DF0224">
              <w:rPr>
                <w:b/>
                <w:i/>
                <w:iCs/>
                <w:color w:val="808080" w:themeColor="text1" w:themeTint="7F"/>
                <w:sz w:val="18"/>
                <w:szCs w:val="18"/>
              </w:rPr>
              <w:t>T.INDET</w:t>
            </w:r>
          </w:p>
          <w:p w:rsidR="00A43E13" w:rsidRPr="00DF0224" w:rsidRDefault="00A43E13" w:rsidP="007C5357">
            <w:pPr>
              <w:jc w:val="center"/>
              <w:rPr>
                <w:b/>
                <w:i/>
                <w:iCs/>
                <w:color w:val="808080" w:themeColor="text1" w:themeTint="7F"/>
                <w:sz w:val="18"/>
                <w:szCs w:val="18"/>
              </w:rPr>
            </w:pPr>
          </w:p>
        </w:tc>
        <w:tc>
          <w:tcPr>
            <w:tcW w:w="681" w:type="pct"/>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A43E13" w:rsidRPr="00DF0224" w:rsidRDefault="00A43E13" w:rsidP="007C5357">
            <w:pPr>
              <w:jc w:val="center"/>
              <w:rPr>
                <w:b/>
                <w:i/>
                <w:iCs/>
                <w:color w:val="808080" w:themeColor="text1" w:themeTint="7F"/>
                <w:sz w:val="18"/>
                <w:szCs w:val="18"/>
              </w:rPr>
            </w:pPr>
            <w:r w:rsidRPr="00DF0224">
              <w:rPr>
                <w:b/>
                <w:i/>
                <w:iCs/>
                <w:color w:val="808080" w:themeColor="text1" w:themeTint="7F"/>
                <w:sz w:val="18"/>
                <w:szCs w:val="18"/>
              </w:rPr>
              <w:t>T.DET.</w:t>
            </w:r>
          </w:p>
          <w:p w:rsidR="00A43E13" w:rsidRPr="00DF0224" w:rsidRDefault="00A43E13" w:rsidP="007C5357">
            <w:pPr>
              <w:jc w:val="center"/>
              <w:rPr>
                <w:b/>
                <w:i/>
                <w:iCs/>
                <w:color w:val="808080" w:themeColor="text1" w:themeTint="7F"/>
                <w:sz w:val="18"/>
                <w:szCs w:val="18"/>
              </w:rPr>
            </w:pPr>
            <w:r w:rsidRPr="00DF0224">
              <w:rPr>
                <w:b/>
                <w:i/>
                <w:iCs/>
                <w:color w:val="808080" w:themeColor="text1" w:themeTint="7F"/>
                <w:sz w:val="18"/>
                <w:szCs w:val="18"/>
              </w:rPr>
              <w:t>1° contratto</w:t>
            </w:r>
          </w:p>
          <w:p w:rsidR="00A43E13" w:rsidRPr="00DF0224" w:rsidRDefault="00A43E13" w:rsidP="007C5357">
            <w:pPr>
              <w:jc w:val="center"/>
              <w:rPr>
                <w:b/>
                <w:i/>
                <w:iCs/>
                <w:color w:val="808080" w:themeColor="text1" w:themeTint="7F"/>
                <w:sz w:val="18"/>
                <w:szCs w:val="18"/>
              </w:rPr>
            </w:pPr>
          </w:p>
        </w:tc>
        <w:tc>
          <w:tcPr>
            <w:tcW w:w="1272"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3E13" w:rsidRPr="00DF0224" w:rsidRDefault="00A43E13" w:rsidP="00A43E13">
            <w:pPr>
              <w:jc w:val="center"/>
              <w:rPr>
                <w:b/>
                <w:i/>
                <w:iCs/>
                <w:color w:val="808080" w:themeColor="text1" w:themeTint="7F"/>
                <w:sz w:val="18"/>
                <w:szCs w:val="18"/>
              </w:rPr>
            </w:pPr>
            <w:r w:rsidRPr="00DF0224">
              <w:rPr>
                <w:b/>
                <w:i/>
                <w:iCs/>
                <w:color w:val="808080" w:themeColor="text1" w:themeTint="7F"/>
                <w:sz w:val="18"/>
                <w:szCs w:val="18"/>
              </w:rPr>
              <w:t>T.DET.</w:t>
            </w:r>
          </w:p>
          <w:p w:rsidR="00DF0224" w:rsidRDefault="00A43E13" w:rsidP="00A43E13">
            <w:pPr>
              <w:jc w:val="center"/>
              <w:rPr>
                <w:b/>
                <w:i/>
                <w:iCs/>
                <w:color w:val="808080" w:themeColor="text1" w:themeTint="7F"/>
                <w:sz w:val="18"/>
                <w:szCs w:val="18"/>
              </w:rPr>
            </w:pPr>
            <w:r w:rsidRPr="00DF0224">
              <w:rPr>
                <w:b/>
                <w:i/>
                <w:iCs/>
                <w:color w:val="808080" w:themeColor="text1" w:themeTint="7F"/>
                <w:sz w:val="18"/>
                <w:szCs w:val="18"/>
              </w:rPr>
              <w:t xml:space="preserve">1° contratto </w:t>
            </w:r>
            <w:r w:rsidR="00C258DA" w:rsidRPr="00DF0224">
              <w:rPr>
                <w:b/>
                <w:i/>
                <w:iCs/>
                <w:color w:val="808080" w:themeColor="text1" w:themeTint="7F"/>
                <w:sz w:val="18"/>
                <w:szCs w:val="18"/>
              </w:rPr>
              <w:t xml:space="preserve">“acausale” </w:t>
            </w:r>
          </w:p>
          <w:p w:rsidR="00A43E13" w:rsidRPr="00DF0224" w:rsidRDefault="00A43E13" w:rsidP="00A43E13">
            <w:pPr>
              <w:jc w:val="center"/>
              <w:rPr>
                <w:b/>
                <w:i/>
                <w:iCs/>
                <w:color w:val="808080" w:themeColor="text1" w:themeTint="7F"/>
                <w:sz w:val="18"/>
                <w:szCs w:val="18"/>
              </w:rPr>
            </w:pPr>
            <w:r w:rsidRPr="00DF0224">
              <w:rPr>
                <w:b/>
                <w:i/>
                <w:iCs/>
                <w:color w:val="808080" w:themeColor="text1" w:themeTint="7F"/>
                <w:sz w:val="18"/>
                <w:szCs w:val="18"/>
              </w:rPr>
              <w:t>(fino a</w:t>
            </w:r>
            <w:r w:rsidR="00DF0224">
              <w:rPr>
                <w:b/>
                <w:i/>
                <w:iCs/>
                <w:color w:val="808080" w:themeColor="text1" w:themeTint="7F"/>
                <w:sz w:val="18"/>
                <w:szCs w:val="18"/>
              </w:rPr>
              <w:t xml:space="preserve">d un max </w:t>
            </w:r>
            <w:r w:rsidRPr="00DF0224">
              <w:rPr>
                <w:b/>
                <w:i/>
                <w:iCs/>
                <w:color w:val="808080" w:themeColor="text1" w:themeTint="7F"/>
                <w:sz w:val="18"/>
                <w:szCs w:val="18"/>
              </w:rPr>
              <w:t xml:space="preserve"> 12 mesi)</w:t>
            </w:r>
          </w:p>
        </w:tc>
        <w:tc>
          <w:tcPr>
            <w:tcW w:w="940" w:type="pct"/>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A43E13" w:rsidRPr="00DF0224" w:rsidRDefault="00A43E13" w:rsidP="007C5357">
            <w:pPr>
              <w:jc w:val="center"/>
              <w:rPr>
                <w:b/>
                <w:i/>
                <w:iCs/>
                <w:color w:val="808080" w:themeColor="text1" w:themeTint="7F"/>
                <w:sz w:val="18"/>
                <w:szCs w:val="18"/>
              </w:rPr>
            </w:pPr>
            <w:r w:rsidRPr="00DF0224">
              <w:rPr>
                <w:b/>
                <w:i/>
                <w:iCs/>
                <w:color w:val="808080" w:themeColor="text1" w:themeTint="7F"/>
                <w:sz w:val="18"/>
                <w:szCs w:val="18"/>
              </w:rPr>
              <w:t>T.DET.</w:t>
            </w:r>
          </w:p>
          <w:p w:rsidR="00C258DA" w:rsidRPr="00DF0224" w:rsidRDefault="00A43E13" w:rsidP="00A43E13">
            <w:pPr>
              <w:jc w:val="center"/>
              <w:rPr>
                <w:b/>
                <w:i/>
                <w:iCs/>
                <w:color w:val="808080" w:themeColor="text1" w:themeTint="7F"/>
                <w:sz w:val="18"/>
                <w:szCs w:val="18"/>
              </w:rPr>
            </w:pPr>
            <w:r w:rsidRPr="00DF0224">
              <w:rPr>
                <w:b/>
                <w:i/>
                <w:iCs/>
                <w:color w:val="808080" w:themeColor="text1" w:themeTint="7F"/>
                <w:sz w:val="18"/>
                <w:szCs w:val="18"/>
              </w:rPr>
              <w:t xml:space="preserve">Dal 1° rinnovo </w:t>
            </w:r>
            <w:r w:rsidR="00C258DA" w:rsidRPr="00DF0224">
              <w:rPr>
                <w:b/>
                <w:i/>
                <w:iCs/>
                <w:color w:val="808080" w:themeColor="text1" w:themeTint="7F"/>
                <w:sz w:val="18"/>
                <w:szCs w:val="18"/>
              </w:rPr>
              <w:t>“causale”</w:t>
            </w:r>
          </w:p>
          <w:p w:rsidR="00A43E13" w:rsidRPr="00DF0224" w:rsidRDefault="00A43E13" w:rsidP="00A43E13">
            <w:pPr>
              <w:jc w:val="center"/>
              <w:rPr>
                <w:b/>
                <w:i/>
                <w:iCs/>
                <w:color w:val="808080" w:themeColor="text1" w:themeTint="7F"/>
                <w:sz w:val="18"/>
                <w:szCs w:val="18"/>
              </w:rPr>
            </w:pPr>
            <w:r w:rsidRPr="00DF0224">
              <w:rPr>
                <w:b/>
                <w:i/>
                <w:iCs/>
                <w:color w:val="808080" w:themeColor="text1" w:themeTint="7F"/>
                <w:sz w:val="18"/>
                <w:szCs w:val="18"/>
              </w:rPr>
              <w:t>del contratto a T.D.</w:t>
            </w:r>
          </w:p>
        </w:tc>
      </w:tr>
      <w:tr w:rsidR="00A43E13" w:rsidRPr="00A43E13" w:rsidTr="00DF0224">
        <w:tc>
          <w:tcPr>
            <w:tcW w:w="1296" w:type="pct"/>
            <w:tcBorders>
              <w:top w:val="single" w:sz="4" w:space="0" w:color="auto"/>
              <w:left w:val="single" w:sz="4" w:space="0" w:color="auto"/>
              <w:bottom w:val="single" w:sz="4" w:space="0" w:color="auto"/>
              <w:right w:val="single" w:sz="4" w:space="0" w:color="auto"/>
            </w:tcBorders>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Retribuzione lorda mensile</w:t>
            </w:r>
          </w:p>
        </w:tc>
        <w:tc>
          <w:tcPr>
            <w:tcW w:w="811" w:type="pct"/>
            <w:tcBorders>
              <w:top w:val="single" w:sz="4" w:space="0" w:color="auto"/>
              <w:left w:val="single" w:sz="4" w:space="0" w:color="auto"/>
              <w:bottom w:val="single" w:sz="4" w:space="0" w:color="auto"/>
              <w:right w:val="single" w:sz="4" w:space="0" w:color="auto"/>
            </w:tcBorders>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1.846</w:t>
            </w:r>
          </w:p>
        </w:tc>
        <w:tc>
          <w:tcPr>
            <w:tcW w:w="681" w:type="pct"/>
            <w:tcBorders>
              <w:top w:val="single" w:sz="4" w:space="0" w:color="auto"/>
              <w:left w:val="single" w:sz="4" w:space="0" w:color="auto"/>
              <w:bottom w:val="single" w:sz="4" w:space="0" w:color="auto"/>
              <w:right w:val="single" w:sz="4" w:space="0" w:color="auto"/>
            </w:tcBorders>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1.846</w:t>
            </w:r>
          </w:p>
        </w:tc>
        <w:tc>
          <w:tcPr>
            <w:tcW w:w="1272" w:type="pct"/>
            <w:tcBorders>
              <w:top w:val="single" w:sz="4" w:space="0" w:color="auto"/>
              <w:left w:val="single" w:sz="4" w:space="0" w:color="auto"/>
              <w:bottom w:val="single" w:sz="4" w:space="0" w:color="auto"/>
              <w:right w:val="single" w:sz="4" w:space="0" w:color="auto"/>
            </w:tcBorders>
          </w:tcPr>
          <w:p w:rsidR="00A43E13" w:rsidRPr="00A43E13" w:rsidRDefault="00A43E13" w:rsidP="006645A3">
            <w:pPr>
              <w:rPr>
                <w:i/>
                <w:iCs/>
                <w:color w:val="808080" w:themeColor="text1" w:themeTint="7F"/>
                <w:sz w:val="18"/>
                <w:szCs w:val="18"/>
              </w:rPr>
            </w:pPr>
            <w:r w:rsidRPr="00A43E13">
              <w:rPr>
                <w:i/>
                <w:iCs/>
                <w:color w:val="808080" w:themeColor="text1" w:themeTint="7F"/>
                <w:sz w:val="18"/>
                <w:szCs w:val="18"/>
              </w:rPr>
              <w:t>1.846</w:t>
            </w:r>
          </w:p>
        </w:tc>
        <w:tc>
          <w:tcPr>
            <w:tcW w:w="940" w:type="pct"/>
            <w:tcBorders>
              <w:top w:val="single" w:sz="4" w:space="0" w:color="auto"/>
              <w:left w:val="single" w:sz="4" w:space="0" w:color="auto"/>
              <w:bottom w:val="single" w:sz="4" w:space="0" w:color="auto"/>
              <w:right w:val="single" w:sz="4" w:space="0" w:color="auto"/>
            </w:tcBorders>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1.846</w:t>
            </w:r>
          </w:p>
        </w:tc>
      </w:tr>
      <w:tr w:rsidR="00A43E13" w:rsidRPr="00A43E13" w:rsidTr="00DF0224">
        <w:tc>
          <w:tcPr>
            <w:tcW w:w="1296" w:type="pct"/>
            <w:tcBorders>
              <w:top w:val="single" w:sz="4" w:space="0" w:color="auto"/>
              <w:left w:val="single" w:sz="4" w:space="0" w:color="auto"/>
              <w:bottom w:val="single" w:sz="4" w:space="0" w:color="auto"/>
              <w:right w:val="single" w:sz="4" w:space="0" w:color="auto"/>
            </w:tcBorders>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Contributi carico azienda (33%)</w:t>
            </w:r>
          </w:p>
        </w:tc>
        <w:tc>
          <w:tcPr>
            <w:tcW w:w="811" w:type="pct"/>
            <w:tcBorders>
              <w:top w:val="single" w:sz="4" w:space="0" w:color="auto"/>
              <w:left w:val="single" w:sz="4" w:space="0" w:color="auto"/>
              <w:bottom w:val="single" w:sz="4" w:space="0" w:color="auto"/>
              <w:right w:val="single" w:sz="4" w:space="0" w:color="auto"/>
            </w:tcBorders>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609</w:t>
            </w:r>
          </w:p>
        </w:tc>
        <w:tc>
          <w:tcPr>
            <w:tcW w:w="681" w:type="pct"/>
            <w:tcBorders>
              <w:top w:val="single" w:sz="4" w:space="0" w:color="auto"/>
              <w:left w:val="single" w:sz="4" w:space="0" w:color="auto"/>
              <w:bottom w:val="single" w:sz="4" w:space="0" w:color="auto"/>
              <w:right w:val="single" w:sz="4" w:space="0" w:color="auto"/>
            </w:tcBorders>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609</w:t>
            </w:r>
          </w:p>
        </w:tc>
        <w:tc>
          <w:tcPr>
            <w:tcW w:w="1272" w:type="pct"/>
            <w:tcBorders>
              <w:top w:val="single" w:sz="4" w:space="0" w:color="auto"/>
              <w:left w:val="single" w:sz="4" w:space="0" w:color="auto"/>
              <w:bottom w:val="single" w:sz="4" w:space="0" w:color="auto"/>
              <w:right w:val="single" w:sz="4" w:space="0" w:color="auto"/>
            </w:tcBorders>
          </w:tcPr>
          <w:p w:rsidR="00A43E13" w:rsidRPr="00A43E13" w:rsidRDefault="00A43E13" w:rsidP="006645A3">
            <w:pPr>
              <w:rPr>
                <w:i/>
                <w:iCs/>
                <w:color w:val="808080" w:themeColor="text1" w:themeTint="7F"/>
                <w:sz w:val="18"/>
                <w:szCs w:val="18"/>
              </w:rPr>
            </w:pPr>
            <w:r w:rsidRPr="00A43E13">
              <w:rPr>
                <w:i/>
                <w:iCs/>
                <w:color w:val="808080" w:themeColor="text1" w:themeTint="7F"/>
                <w:sz w:val="18"/>
                <w:szCs w:val="18"/>
              </w:rPr>
              <w:t>609</w:t>
            </w:r>
          </w:p>
        </w:tc>
        <w:tc>
          <w:tcPr>
            <w:tcW w:w="940" w:type="pct"/>
            <w:tcBorders>
              <w:top w:val="single" w:sz="4" w:space="0" w:color="auto"/>
              <w:left w:val="single" w:sz="4" w:space="0" w:color="auto"/>
              <w:bottom w:val="single" w:sz="4" w:space="0" w:color="auto"/>
              <w:right w:val="single" w:sz="4" w:space="0" w:color="auto"/>
            </w:tcBorders>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609</w:t>
            </w:r>
          </w:p>
        </w:tc>
      </w:tr>
      <w:tr w:rsidR="00A43E13" w:rsidRPr="00A43E13" w:rsidTr="00DF0224">
        <w:tc>
          <w:tcPr>
            <w:tcW w:w="1296" w:type="pct"/>
            <w:tcBorders>
              <w:top w:val="single" w:sz="4" w:space="0" w:color="auto"/>
              <w:left w:val="single" w:sz="4" w:space="0" w:color="auto"/>
              <w:bottom w:val="single" w:sz="4" w:space="0" w:color="auto"/>
              <w:right w:val="single" w:sz="4" w:space="0" w:color="auto"/>
            </w:tcBorders>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Addizionale contributivo</w:t>
            </w:r>
          </w:p>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(1,4% introdotto L.92/12)</w:t>
            </w:r>
          </w:p>
        </w:tc>
        <w:tc>
          <w:tcPr>
            <w:tcW w:w="811" w:type="pct"/>
            <w:tcBorders>
              <w:top w:val="single" w:sz="4" w:space="0" w:color="auto"/>
              <w:left w:val="single" w:sz="4" w:space="0" w:color="auto"/>
              <w:bottom w:val="single" w:sz="4" w:space="0" w:color="auto"/>
              <w:right w:val="single" w:sz="4" w:space="0" w:color="auto"/>
            </w:tcBorders>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w:t>
            </w:r>
          </w:p>
        </w:tc>
        <w:tc>
          <w:tcPr>
            <w:tcW w:w="681" w:type="pct"/>
            <w:tcBorders>
              <w:top w:val="single" w:sz="4" w:space="0" w:color="auto"/>
              <w:left w:val="single" w:sz="4" w:space="0" w:color="auto"/>
              <w:bottom w:val="single" w:sz="4" w:space="0" w:color="auto"/>
              <w:right w:val="single" w:sz="4" w:space="0" w:color="auto"/>
            </w:tcBorders>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26</w:t>
            </w:r>
          </w:p>
        </w:tc>
        <w:tc>
          <w:tcPr>
            <w:tcW w:w="1272" w:type="pct"/>
            <w:tcBorders>
              <w:top w:val="single" w:sz="4" w:space="0" w:color="auto"/>
              <w:left w:val="single" w:sz="4" w:space="0" w:color="auto"/>
              <w:bottom w:val="single" w:sz="4" w:space="0" w:color="auto"/>
              <w:right w:val="single" w:sz="4" w:space="0" w:color="auto"/>
            </w:tcBorders>
          </w:tcPr>
          <w:p w:rsidR="00A43E13" w:rsidRPr="00A43E13" w:rsidRDefault="00A43E13" w:rsidP="006645A3">
            <w:pPr>
              <w:rPr>
                <w:i/>
                <w:iCs/>
                <w:color w:val="808080" w:themeColor="text1" w:themeTint="7F"/>
                <w:sz w:val="18"/>
                <w:szCs w:val="18"/>
              </w:rPr>
            </w:pPr>
            <w:r w:rsidRPr="00A43E13">
              <w:rPr>
                <w:i/>
                <w:iCs/>
                <w:color w:val="808080" w:themeColor="text1" w:themeTint="7F"/>
                <w:sz w:val="18"/>
                <w:szCs w:val="18"/>
              </w:rPr>
              <w:t>26</w:t>
            </w:r>
          </w:p>
        </w:tc>
        <w:tc>
          <w:tcPr>
            <w:tcW w:w="940" w:type="pct"/>
            <w:tcBorders>
              <w:top w:val="single" w:sz="4" w:space="0" w:color="auto"/>
              <w:left w:val="single" w:sz="4" w:space="0" w:color="auto"/>
              <w:bottom w:val="single" w:sz="4" w:space="0" w:color="auto"/>
              <w:right w:val="single" w:sz="4" w:space="0" w:color="auto"/>
            </w:tcBorders>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26</w:t>
            </w:r>
          </w:p>
        </w:tc>
      </w:tr>
      <w:tr w:rsidR="00A43E13" w:rsidRPr="00A43E13" w:rsidTr="00DF0224">
        <w:tc>
          <w:tcPr>
            <w:tcW w:w="1296"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3E13" w:rsidRPr="00A43E13" w:rsidRDefault="00A43E13" w:rsidP="007C5357">
            <w:pPr>
              <w:rPr>
                <w:b/>
                <w:i/>
                <w:iCs/>
                <w:color w:val="808080" w:themeColor="text1" w:themeTint="7F"/>
                <w:sz w:val="18"/>
                <w:szCs w:val="18"/>
              </w:rPr>
            </w:pPr>
            <w:r w:rsidRPr="00A43E13">
              <w:rPr>
                <w:b/>
                <w:i/>
                <w:iCs/>
                <w:color w:val="808080" w:themeColor="text1" w:themeTint="7F"/>
                <w:sz w:val="18"/>
                <w:szCs w:val="18"/>
              </w:rPr>
              <w:t>Addizionale contributivo</w:t>
            </w:r>
          </w:p>
          <w:p w:rsidR="00A43E13" w:rsidRPr="00A43E13" w:rsidRDefault="00A43E13" w:rsidP="007C5357">
            <w:pPr>
              <w:rPr>
                <w:b/>
                <w:i/>
                <w:iCs/>
                <w:color w:val="808080" w:themeColor="text1" w:themeTint="7F"/>
                <w:sz w:val="18"/>
                <w:szCs w:val="18"/>
              </w:rPr>
            </w:pPr>
            <w:r w:rsidRPr="00A43E13">
              <w:rPr>
                <w:b/>
                <w:i/>
                <w:iCs/>
                <w:color w:val="808080" w:themeColor="text1" w:themeTint="7F"/>
                <w:sz w:val="18"/>
                <w:szCs w:val="18"/>
              </w:rPr>
              <w:t>(2,6% IPOTESI UIL come correttivo al Decreto Dignità 2018)</w:t>
            </w:r>
          </w:p>
        </w:tc>
        <w:tc>
          <w:tcPr>
            <w:tcW w:w="81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3E13" w:rsidRPr="00A43E13" w:rsidRDefault="00A43E13" w:rsidP="007C5357">
            <w:pPr>
              <w:rPr>
                <w:b/>
                <w:i/>
                <w:iCs/>
                <w:color w:val="808080" w:themeColor="text1" w:themeTint="7F"/>
                <w:sz w:val="18"/>
                <w:szCs w:val="18"/>
              </w:rPr>
            </w:pPr>
            <w:r w:rsidRPr="00A43E13">
              <w:rPr>
                <w:b/>
                <w:i/>
                <w:iCs/>
                <w:color w:val="808080" w:themeColor="text1" w:themeTint="7F"/>
                <w:sz w:val="18"/>
                <w:szCs w:val="18"/>
              </w:rPr>
              <w:t>/</w:t>
            </w:r>
          </w:p>
        </w:tc>
        <w:tc>
          <w:tcPr>
            <w:tcW w:w="681"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3E13" w:rsidRPr="00A43E13" w:rsidRDefault="00A43E13" w:rsidP="007C5357">
            <w:pPr>
              <w:rPr>
                <w:b/>
                <w:i/>
                <w:iCs/>
                <w:color w:val="808080" w:themeColor="text1" w:themeTint="7F"/>
                <w:sz w:val="18"/>
                <w:szCs w:val="18"/>
              </w:rPr>
            </w:pPr>
            <w:r w:rsidRPr="00A43E13">
              <w:rPr>
                <w:b/>
                <w:i/>
                <w:iCs/>
                <w:color w:val="808080" w:themeColor="text1" w:themeTint="7F"/>
                <w:sz w:val="18"/>
                <w:szCs w:val="18"/>
              </w:rPr>
              <w:t>/</w:t>
            </w:r>
          </w:p>
        </w:tc>
        <w:tc>
          <w:tcPr>
            <w:tcW w:w="1272"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3E13" w:rsidRPr="00A43E13" w:rsidRDefault="00A43E13" w:rsidP="006645A3">
            <w:pPr>
              <w:rPr>
                <w:b/>
                <w:i/>
                <w:iCs/>
                <w:color w:val="808080" w:themeColor="text1" w:themeTint="7F"/>
                <w:sz w:val="18"/>
                <w:szCs w:val="18"/>
              </w:rPr>
            </w:pPr>
            <w:r w:rsidRPr="00A43E13">
              <w:rPr>
                <w:b/>
                <w:i/>
                <w:iCs/>
                <w:color w:val="808080" w:themeColor="text1" w:themeTint="7F"/>
                <w:sz w:val="18"/>
                <w:szCs w:val="18"/>
              </w:rPr>
              <w:t>/</w:t>
            </w:r>
          </w:p>
        </w:tc>
        <w:tc>
          <w:tcPr>
            <w:tcW w:w="940" w:type="pct"/>
            <w:tcBorders>
              <w:top w:val="single" w:sz="4" w:space="0" w:color="auto"/>
              <w:left w:val="single" w:sz="4" w:space="0" w:color="auto"/>
              <w:bottom w:val="single" w:sz="4" w:space="0" w:color="auto"/>
              <w:right w:val="single" w:sz="4" w:space="0" w:color="auto"/>
            </w:tcBorders>
            <w:shd w:val="clear" w:color="auto" w:fill="DBE5F1" w:themeFill="accent1" w:themeFillTint="33"/>
          </w:tcPr>
          <w:p w:rsidR="00A43E13" w:rsidRPr="00A43E13" w:rsidRDefault="00A43E13" w:rsidP="007C5357">
            <w:pPr>
              <w:rPr>
                <w:b/>
                <w:i/>
                <w:iCs/>
                <w:color w:val="808080" w:themeColor="text1" w:themeTint="7F"/>
                <w:sz w:val="18"/>
                <w:szCs w:val="18"/>
              </w:rPr>
            </w:pPr>
            <w:r w:rsidRPr="00A43E13">
              <w:rPr>
                <w:b/>
                <w:i/>
                <w:iCs/>
                <w:color w:val="808080" w:themeColor="text1" w:themeTint="7F"/>
                <w:sz w:val="18"/>
                <w:szCs w:val="18"/>
              </w:rPr>
              <w:t>48</w:t>
            </w:r>
          </w:p>
        </w:tc>
      </w:tr>
      <w:tr w:rsidR="00A43E13" w:rsidRPr="00A43E13" w:rsidTr="00DF0224">
        <w:tc>
          <w:tcPr>
            <w:tcW w:w="1296" w:type="pct"/>
            <w:tcBorders>
              <w:top w:val="single" w:sz="4" w:space="0" w:color="auto"/>
              <w:left w:val="single" w:sz="4" w:space="0" w:color="auto"/>
              <w:bottom w:val="single" w:sz="4" w:space="0" w:color="auto"/>
              <w:right w:val="single" w:sz="4" w:space="0" w:color="auto"/>
            </w:tcBorders>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Irap</w:t>
            </w:r>
          </w:p>
        </w:tc>
        <w:tc>
          <w:tcPr>
            <w:tcW w:w="811" w:type="pct"/>
            <w:tcBorders>
              <w:top w:val="single" w:sz="4" w:space="0" w:color="auto"/>
              <w:left w:val="single" w:sz="4" w:space="0" w:color="auto"/>
              <w:bottom w:val="single" w:sz="4" w:space="0" w:color="auto"/>
              <w:right w:val="single" w:sz="4" w:space="0" w:color="auto"/>
            </w:tcBorders>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w:t>
            </w:r>
          </w:p>
        </w:tc>
        <w:tc>
          <w:tcPr>
            <w:tcW w:w="681" w:type="pct"/>
            <w:tcBorders>
              <w:top w:val="single" w:sz="4" w:space="0" w:color="auto"/>
              <w:left w:val="single" w:sz="4" w:space="0" w:color="auto"/>
              <w:bottom w:val="single" w:sz="4" w:space="0" w:color="auto"/>
              <w:right w:val="single" w:sz="4" w:space="0" w:color="auto"/>
            </w:tcBorders>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72</w:t>
            </w:r>
          </w:p>
        </w:tc>
        <w:tc>
          <w:tcPr>
            <w:tcW w:w="1272" w:type="pct"/>
            <w:tcBorders>
              <w:top w:val="single" w:sz="4" w:space="0" w:color="auto"/>
              <w:left w:val="single" w:sz="4" w:space="0" w:color="auto"/>
              <w:bottom w:val="single" w:sz="4" w:space="0" w:color="auto"/>
              <w:right w:val="single" w:sz="4" w:space="0" w:color="auto"/>
            </w:tcBorders>
          </w:tcPr>
          <w:p w:rsidR="00A43E13" w:rsidRPr="00A43E13" w:rsidRDefault="00A43E13" w:rsidP="006645A3">
            <w:pPr>
              <w:rPr>
                <w:i/>
                <w:iCs/>
                <w:color w:val="808080" w:themeColor="text1" w:themeTint="7F"/>
                <w:sz w:val="18"/>
                <w:szCs w:val="18"/>
              </w:rPr>
            </w:pPr>
            <w:r w:rsidRPr="00A43E13">
              <w:rPr>
                <w:i/>
                <w:iCs/>
                <w:color w:val="808080" w:themeColor="text1" w:themeTint="7F"/>
                <w:sz w:val="18"/>
                <w:szCs w:val="18"/>
              </w:rPr>
              <w:t>72</w:t>
            </w:r>
          </w:p>
        </w:tc>
        <w:tc>
          <w:tcPr>
            <w:tcW w:w="940" w:type="pct"/>
            <w:tcBorders>
              <w:top w:val="single" w:sz="4" w:space="0" w:color="auto"/>
              <w:left w:val="single" w:sz="4" w:space="0" w:color="auto"/>
              <w:bottom w:val="single" w:sz="4" w:space="0" w:color="auto"/>
              <w:right w:val="single" w:sz="4" w:space="0" w:color="auto"/>
            </w:tcBorders>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72</w:t>
            </w:r>
          </w:p>
        </w:tc>
      </w:tr>
      <w:tr w:rsidR="00A43E13" w:rsidRPr="00A43E13" w:rsidTr="00DF0224">
        <w:tc>
          <w:tcPr>
            <w:tcW w:w="1296"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 xml:space="preserve">TOTALE </w:t>
            </w:r>
          </w:p>
        </w:tc>
        <w:tc>
          <w:tcPr>
            <w:tcW w:w="811"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2.455</w:t>
            </w:r>
          </w:p>
        </w:tc>
        <w:tc>
          <w:tcPr>
            <w:tcW w:w="681"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2.553</w:t>
            </w:r>
          </w:p>
        </w:tc>
        <w:tc>
          <w:tcPr>
            <w:tcW w:w="1272"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43E13" w:rsidRPr="00A43E13" w:rsidRDefault="00A43E13" w:rsidP="006645A3">
            <w:pPr>
              <w:rPr>
                <w:i/>
                <w:iCs/>
                <w:color w:val="808080" w:themeColor="text1" w:themeTint="7F"/>
                <w:sz w:val="18"/>
                <w:szCs w:val="18"/>
              </w:rPr>
            </w:pPr>
            <w:r w:rsidRPr="00A43E13">
              <w:rPr>
                <w:i/>
                <w:iCs/>
                <w:color w:val="808080" w:themeColor="text1" w:themeTint="7F"/>
                <w:sz w:val="18"/>
                <w:szCs w:val="18"/>
              </w:rPr>
              <w:t>2.553</w:t>
            </w:r>
          </w:p>
        </w:tc>
        <w:tc>
          <w:tcPr>
            <w:tcW w:w="940"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2.601</w:t>
            </w:r>
          </w:p>
        </w:tc>
      </w:tr>
      <w:tr w:rsidR="00A43E13" w:rsidRPr="00A43E13" w:rsidTr="00DF0224">
        <w:tc>
          <w:tcPr>
            <w:tcW w:w="1296"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Totale annuo</w:t>
            </w:r>
          </w:p>
        </w:tc>
        <w:tc>
          <w:tcPr>
            <w:tcW w:w="811"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31.915</w:t>
            </w:r>
          </w:p>
        </w:tc>
        <w:tc>
          <w:tcPr>
            <w:tcW w:w="681" w:type="pct"/>
            <w:tcBorders>
              <w:top w:val="single" w:sz="4" w:space="0" w:color="auto"/>
              <w:left w:val="single" w:sz="4" w:space="0" w:color="auto"/>
              <w:bottom w:val="single" w:sz="4" w:space="0" w:color="auto"/>
              <w:right w:val="single" w:sz="4" w:space="0" w:color="auto"/>
            </w:tcBorders>
            <w:shd w:val="clear" w:color="auto" w:fill="DDD9C3" w:themeFill="background2" w:themeFillShade="E6"/>
            <w:hideMark/>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33.189</w:t>
            </w:r>
          </w:p>
        </w:tc>
        <w:tc>
          <w:tcPr>
            <w:tcW w:w="1272"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43E13" w:rsidRPr="00A43E13" w:rsidRDefault="00A43E13" w:rsidP="006645A3">
            <w:pPr>
              <w:rPr>
                <w:i/>
                <w:iCs/>
                <w:color w:val="808080" w:themeColor="text1" w:themeTint="7F"/>
                <w:sz w:val="18"/>
                <w:szCs w:val="18"/>
              </w:rPr>
            </w:pPr>
            <w:r w:rsidRPr="00A43E13">
              <w:rPr>
                <w:i/>
                <w:iCs/>
                <w:color w:val="808080" w:themeColor="text1" w:themeTint="7F"/>
                <w:sz w:val="18"/>
                <w:szCs w:val="18"/>
              </w:rPr>
              <w:t>33.189</w:t>
            </w:r>
          </w:p>
        </w:tc>
        <w:tc>
          <w:tcPr>
            <w:tcW w:w="940" w:type="pct"/>
            <w:tcBorders>
              <w:top w:val="single" w:sz="4" w:space="0" w:color="auto"/>
              <w:left w:val="single" w:sz="4" w:space="0" w:color="auto"/>
              <w:bottom w:val="single" w:sz="4" w:space="0" w:color="auto"/>
              <w:right w:val="single" w:sz="4" w:space="0" w:color="auto"/>
            </w:tcBorders>
            <w:shd w:val="clear" w:color="auto" w:fill="DDD9C3" w:themeFill="background2" w:themeFillShade="E6"/>
          </w:tcPr>
          <w:p w:rsidR="00A43E13" w:rsidRPr="00A43E13" w:rsidRDefault="00A43E13" w:rsidP="007C5357">
            <w:pPr>
              <w:rPr>
                <w:i/>
                <w:iCs/>
                <w:color w:val="808080" w:themeColor="text1" w:themeTint="7F"/>
                <w:sz w:val="18"/>
                <w:szCs w:val="18"/>
              </w:rPr>
            </w:pPr>
            <w:r w:rsidRPr="00A43E13">
              <w:rPr>
                <w:i/>
                <w:iCs/>
                <w:color w:val="808080" w:themeColor="text1" w:themeTint="7F"/>
                <w:sz w:val="18"/>
                <w:szCs w:val="18"/>
              </w:rPr>
              <w:t>33.813</w:t>
            </w:r>
          </w:p>
        </w:tc>
      </w:tr>
    </w:tbl>
    <w:p w:rsidR="00966260" w:rsidRDefault="00966260" w:rsidP="00966260">
      <w:pPr>
        <w:spacing w:after="0" w:line="240" w:lineRule="auto"/>
        <w:rPr>
          <w:rFonts w:ascii="Calibri" w:eastAsia="Calibri" w:hAnsi="Calibri" w:cs="Times New Roman"/>
          <w:i/>
          <w:iCs/>
          <w:color w:val="808080" w:themeColor="text1" w:themeTint="7F"/>
          <w:sz w:val="16"/>
          <w:szCs w:val="16"/>
        </w:rPr>
      </w:pPr>
      <w:r w:rsidRPr="00966260">
        <w:rPr>
          <w:rFonts w:ascii="Calibri" w:eastAsia="Calibri" w:hAnsi="Calibri" w:cs="Times New Roman"/>
          <w:i/>
          <w:iCs/>
          <w:color w:val="808080" w:themeColor="text1" w:themeTint="7F"/>
          <w:sz w:val="16"/>
          <w:szCs w:val="16"/>
        </w:rPr>
        <w:t>UIL-Servizio Politiche Attive e Passive del Lavoro</w:t>
      </w:r>
    </w:p>
    <w:p w:rsidR="00673EE9" w:rsidRDefault="00673EE9" w:rsidP="00966260">
      <w:pPr>
        <w:spacing w:after="0" w:line="240" w:lineRule="auto"/>
        <w:rPr>
          <w:rFonts w:ascii="Calibri" w:eastAsia="Calibri" w:hAnsi="Calibri" w:cs="Times New Roman"/>
          <w:i/>
          <w:iCs/>
          <w:color w:val="808080" w:themeColor="text1" w:themeTint="7F"/>
          <w:sz w:val="16"/>
          <w:szCs w:val="16"/>
        </w:rPr>
      </w:pPr>
    </w:p>
    <w:p w:rsidR="000E1540" w:rsidRPr="00966260" w:rsidRDefault="000E1540" w:rsidP="00966260">
      <w:pPr>
        <w:spacing w:after="0" w:line="240" w:lineRule="auto"/>
        <w:rPr>
          <w:rFonts w:ascii="Calibri" w:eastAsia="Calibri" w:hAnsi="Calibri" w:cs="Times New Roman"/>
          <w:i/>
          <w:iCs/>
          <w:color w:val="808080" w:themeColor="text1" w:themeTint="7F"/>
          <w:sz w:val="16"/>
          <w:szCs w:val="16"/>
        </w:rPr>
      </w:pPr>
    </w:p>
    <w:p w:rsidR="00672479" w:rsidRDefault="00672479" w:rsidP="00672479">
      <w:pPr>
        <w:pStyle w:val="Paragrafoelenco"/>
        <w:numPr>
          <w:ilvl w:val="0"/>
          <w:numId w:val="4"/>
        </w:numPr>
        <w:autoSpaceDE w:val="0"/>
        <w:autoSpaceDN w:val="0"/>
        <w:adjustRightInd w:val="0"/>
        <w:spacing w:after="0" w:line="240" w:lineRule="auto"/>
        <w:jc w:val="both"/>
        <w:rPr>
          <w:rStyle w:val="Enfasidelicata"/>
        </w:rPr>
      </w:pPr>
      <w:r>
        <w:rPr>
          <w:rStyle w:val="Enfasidelicata"/>
        </w:rPr>
        <w:t>I TERMINI DI IMPUGNAZIONE STRAGIUDIZIALE DEL CONTRATTO A TERMINE, SALGONO A 180 GIORNI</w:t>
      </w:r>
    </w:p>
    <w:p w:rsidR="004F09FE" w:rsidRDefault="004F09FE" w:rsidP="004F09FE">
      <w:pPr>
        <w:autoSpaceDE w:val="0"/>
        <w:autoSpaceDN w:val="0"/>
        <w:adjustRightInd w:val="0"/>
        <w:spacing w:after="0" w:line="240" w:lineRule="auto"/>
        <w:jc w:val="both"/>
        <w:rPr>
          <w:rStyle w:val="Enfasidelicata"/>
        </w:rPr>
      </w:pPr>
      <w:r>
        <w:rPr>
          <w:rStyle w:val="Enfasidelicata"/>
        </w:rPr>
        <w:t xml:space="preserve">Attualmente per l’impugnazione del contratto a tempo determinato, vige un sistema di doppi termini di decadenza: 120 giorni dalla scadenza del contratto per impugnare in via stragiudiziale il contratto e gli ulteriori 180 giorni per adire la via giudiziale. </w:t>
      </w:r>
    </w:p>
    <w:p w:rsidR="004F09FE" w:rsidRDefault="004F09FE" w:rsidP="004F09FE">
      <w:pPr>
        <w:autoSpaceDE w:val="0"/>
        <w:autoSpaceDN w:val="0"/>
        <w:adjustRightInd w:val="0"/>
        <w:spacing w:after="0" w:line="240" w:lineRule="auto"/>
        <w:jc w:val="both"/>
        <w:rPr>
          <w:rStyle w:val="Enfasidelicata"/>
        </w:rPr>
      </w:pPr>
      <w:r>
        <w:rPr>
          <w:rStyle w:val="Enfasidelicata"/>
        </w:rPr>
        <w:t>Si tratta di termini perentori (tassativi), che laddove non rispettati, determinano per il lavoratore l’impossibilità di impugnare il contratto.</w:t>
      </w:r>
    </w:p>
    <w:p w:rsidR="00784BE5" w:rsidRDefault="00784BE5" w:rsidP="004F09FE">
      <w:pPr>
        <w:autoSpaceDE w:val="0"/>
        <w:autoSpaceDN w:val="0"/>
        <w:adjustRightInd w:val="0"/>
        <w:spacing w:after="0" w:line="240" w:lineRule="auto"/>
        <w:jc w:val="both"/>
        <w:rPr>
          <w:rStyle w:val="Enfasidelicata"/>
        </w:rPr>
      </w:pPr>
      <w:r>
        <w:rPr>
          <w:rStyle w:val="Enfasidelicata"/>
        </w:rPr>
        <w:t xml:space="preserve">Il Pacchetto Lavoro </w:t>
      </w:r>
      <w:r w:rsidR="000F443B">
        <w:rPr>
          <w:rStyle w:val="Enfasidelicata"/>
        </w:rPr>
        <w:t xml:space="preserve">innalza </w:t>
      </w:r>
      <w:r>
        <w:rPr>
          <w:rStyle w:val="Enfasidelicata"/>
        </w:rPr>
        <w:t xml:space="preserve">a </w:t>
      </w:r>
      <w:r w:rsidRPr="009346E2">
        <w:rPr>
          <w:rStyle w:val="Enfasidelicata"/>
          <w:b/>
        </w:rPr>
        <w:t>180 giorni</w:t>
      </w:r>
      <w:r>
        <w:rPr>
          <w:rStyle w:val="Enfasidelicata"/>
        </w:rPr>
        <w:t xml:space="preserve"> </w:t>
      </w:r>
      <w:r w:rsidR="000F443B">
        <w:rPr>
          <w:rStyle w:val="Enfasidelicata"/>
        </w:rPr>
        <w:t>il primo termine decadenziale per l’</w:t>
      </w:r>
      <w:r w:rsidR="000F443B" w:rsidRPr="009346E2">
        <w:rPr>
          <w:rStyle w:val="Enfasidelicata"/>
          <w:b/>
        </w:rPr>
        <w:t>impugna</w:t>
      </w:r>
      <w:r w:rsidR="00565B68">
        <w:rPr>
          <w:rStyle w:val="Enfasidelicata"/>
          <w:b/>
        </w:rPr>
        <w:t>tiva</w:t>
      </w:r>
      <w:r w:rsidR="00376678" w:rsidRPr="009346E2">
        <w:rPr>
          <w:rStyle w:val="Enfasidelicata"/>
          <w:b/>
        </w:rPr>
        <w:t xml:space="preserve"> extragiudiziale</w:t>
      </w:r>
      <w:r w:rsidR="00376678">
        <w:rPr>
          <w:rStyle w:val="Enfasidelicata"/>
        </w:rPr>
        <w:t>.</w:t>
      </w:r>
    </w:p>
    <w:p w:rsidR="00101D0B" w:rsidRDefault="00101D0B" w:rsidP="004F09FE">
      <w:pPr>
        <w:autoSpaceDE w:val="0"/>
        <w:autoSpaceDN w:val="0"/>
        <w:adjustRightInd w:val="0"/>
        <w:spacing w:after="0" w:line="240" w:lineRule="auto"/>
        <w:jc w:val="both"/>
        <w:rPr>
          <w:rStyle w:val="Enfasidelicata"/>
        </w:rPr>
      </w:pPr>
    </w:p>
    <w:p w:rsidR="00BF4B31" w:rsidRDefault="00BF4B31" w:rsidP="004F09FE">
      <w:pPr>
        <w:autoSpaceDE w:val="0"/>
        <w:autoSpaceDN w:val="0"/>
        <w:adjustRightInd w:val="0"/>
        <w:spacing w:after="0" w:line="240" w:lineRule="auto"/>
        <w:jc w:val="both"/>
        <w:rPr>
          <w:rStyle w:val="Enfasidelicata"/>
        </w:rPr>
      </w:pPr>
    </w:p>
    <w:p w:rsidR="00D30CA8" w:rsidRPr="00DF0224" w:rsidRDefault="00D2265D" w:rsidP="00DF0224">
      <w:pPr>
        <w:pStyle w:val="Paragrafoelenco"/>
        <w:numPr>
          <w:ilvl w:val="0"/>
          <w:numId w:val="1"/>
        </w:numPr>
        <w:autoSpaceDE w:val="0"/>
        <w:autoSpaceDN w:val="0"/>
        <w:adjustRightInd w:val="0"/>
        <w:spacing w:after="0" w:line="240" w:lineRule="auto"/>
        <w:jc w:val="both"/>
        <w:rPr>
          <w:rStyle w:val="Enfasidelicata"/>
          <w:b/>
          <w:color w:val="002060"/>
        </w:rPr>
      </w:pPr>
      <w:r w:rsidRPr="00DF0224">
        <w:rPr>
          <w:rStyle w:val="Enfasidelicata"/>
          <w:b/>
          <w:color w:val="002060"/>
        </w:rPr>
        <w:t>SOMMINISTRAZIONE A TEMPO DETERMINATO</w:t>
      </w:r>
      <w:r w:rsidR="0024159E">
        <w:rPr>
          <w:rStyle w:val="Enfasidelicata"/>
          <w:b/>
          <w:color w:val="002060"/>
        </w:rPr>
        <w:t xml:space="preserve"> </w:t>
      </w:r>
    </w:p>
    <w:p w:rsidR="008B2D51" w:rsidRDefault="00CF0C8A" w:rsidP="00E573C8">
      <w:pPr>
        <w:spacing w:after="0" w:line="240" w:lineRule="auto"/>
        <w:jc w:val="both"/>
        <w:rPr>
          <w:rStyle w:val="Enfasidelicata"/>
        </w:rPr>
      </w:pPr>
      <w:r>
        <w:rPr>
          <w:rStyle w:val="Enfasidelicata"/>
        </w:rPr>
        <w:t>Negli anni ’</w:t>
      </w:r>
      <w:r w:rsidR="008B2D51">
        <w:rPr>
          <w:rStyle w:val="Enfasidelicata"/>
        </w:rPr>
        <w:t>90, con la liberalizzazione del collocamento, fino a quel momento di monopolio pubblico, viene introdotto il lavoro interinale che nel 2003 prenderà il nuovo nome di  somministrazione.</w:t>
      </w:r>
    </w:p>
    <w:p w:rsidR="008B2D51" w:rsidRDefault="008B2D51" w:rsidP="00E573C8">
      <w:pPr>
        <w:spacing w:after="0" w:line="240" w:lineRule="auto"/>
        <w:jc w:val="both"/>
        <w:rPr>
          <w:rStyle w:val="Enfasidelicata"/>
        </w:rPr>
      </w:pPr>
      <w:r>
        <w:rPr>
          <w:rStyle w:val="Enfasidelicata"/>
        </w:rPr>
        <w:t>Le origini e le finalità del contratto a tempo determinato e della somministrazione, sono profondamente diverse</w:t>
      </w:r>
      <w:r w:rsidR="005B38DC">
        <w:rPr>
          <w:rStyle w:val="Enfasidelicata"/>
        </w:rPr>
        <w:t xml:space="preserve"> e come tali, richiedono una diversa attenzione nella regolamentazione.</w:t>
      </w:r>
    </w:p>
    <w:p w:rsidR="00270759" w:rsidRPr="009346E2" w:rsidRDefault="0024159E" w:rsidP="00E573C8">
      <w:pPr>
        <w:spacing w:after="0" w:line="240" w:lineRule="auto"/>
        <w:jc w:val="both"/>
        <w:rPr>
          <w:rStyle w:val="Enfasidelicata"/>
          <w:b/>
        </w:rPr>
      </w:pPr>
      <w:r>
        <w:rPr>
          <w:rStyle w:val="Enfasidelicata"/>
        </w:rPr>
        <w:t xml:space="preserve">Il Decreto Dignità sembra invece concepire i due istituti contrattuali come uguali, tentando una </w:t>
      </w:r>
      <w:r w:rsidRPr="009346E2">
        <w:rPr>
          <w:rStyle w:val="Enfasidelicata"/>
          <w:b/>
        </w:rPr>
        <w:t xml:space="preserve">“omogeneizzazione” della somministrazione a tempo determinato con il contratto a termine in forma diretta. </w:t>
      </w:r>
    </w:p>
    <w:p w:rsidR="00220491" w:rsidRDefault="00220491" w:rsidP="00E573C8">
      <w:pPr>
        <w:spacing w:after="0" w:line="240" w:lineRule="auto"/>
        <w:jc w:val="both"/>
        <w:rPr>
          <w:rStyle w:val="Enfasidelicata"/>
        </w:rPr>
      </w:pPr>
      <w:r>
        <w:rPr>
          <w:rStyle w:val="Enfasidelicata"/>
        </w:rPr>
        <w:t>Tale equiparazione è visibile nelle novità che introduce:</w:t>
      </w:r>
    </w:p>
    <w:p w:rsidR="00220491" w:rsidRDefault="00220491" w:rsidP="00220491">
      <w:pPr>
        <w:pStyle w:val="Paragrafoelenco"/>
        <w:numPr>
          <w:ilvl w:val="0"/>
          <w:numId w:val="1"/>
        </w:numPr>
        <w:spacing w:after="0" w:line="240" w:lineRule="auto"/>
        <w:jc w:val="both"/>
        <w:rPr>
          <w:rStyle w:val="Enfasidelicata"/>
        </w:rPr>
      </w:pPr>
      <w:r>
        <w:rPr>
          <w:rStyle w:val="Enfasidelicata"/>
        </w:rPr>
        <w:t>Tetto massimo di durata di 24 mesi</w:t>
      </w:r>
    </w:p>
    <w:p w:rsidR="00220491" w:rsidRDefault="00220491" w:rsidP="00220491">
      <w:pPr>
        <w:pStyle w:val="Paragrafoelenco"/>
        <w:numPr>
          <w:ilvl w:val="0"/>
          <w:numId w:val="1"/>
        </w:numPr>
        <w:spacing w:after="0" w:line="240" w:lineRule="auto"/>
        <w:jc w:val="both"/>
        <w:rPr>
          <w:rStyle w:val="Enfasidelicata"/>
        </w:rPr>
      </w:pPr>
      <w:r>
        <w:rPr>
          <w:rStyle w:val="Enfasidelicata"/>
        </w:rPr>
        <w:t>1°contratto in somministrazione “ACAUSALE” fino a 12 mesi (comprensivo di eventuali proroghe)</w:t>
      </w:r>
    </w:p>
    <w:p w:rsidR="00220491" w:rsidRDefault="00220491" w:rsidP="00220491">
      <w:pPr>
        <w:pStyle w:val="Paragrafoelenco"/>
        <w:numPr>
          <w:ilvl w:val="0"/>
          <w:numId w:val="1"/>
        </w:numPr>
        <w:spacing w:after="0" w:line="240" w:lineRule="auto"/>
        <w:jc w:val="both"/>
        <w:rPr>
          <w:rStyle w:val="Enfasidelicata"/>
        </w:rPr>
      </w:pPr>
      <w:r>
        <w:rPr>
          <w:rStyle w:val="Enfasidelicata"/>
        </w:rPr>
        <w:t xml:space="preserve">Introduzione delle medesime CAUSALI del contratto a tempo determinato a partire dal 1° rinnovo </w:t>
      </w:r>
    </w:p>
    <w:p w:rsidR="00220491" w:rsidRDefault="00220491" w:rsidP="00220491">
      <w:pPr>
        <w:pStyle w:val="Paragrafoelenco"/>
        <w:numPr>
          <w:ilvl w:val="0"/>
          <w:numId w:val="1"/>
        </w:numPr>
        <w:spacing w:after="0" w:line="240" w:lineRule="auto"/>
        <w:jc w:val="both"/>
        <w:rPr>
          <w:rStyle w:val="Enfasidelicata"/>
        </w:rPr>
      </w:pPr>
      <w:r>
        <w:rPr>
          <w:rStyle w:val="Enfasidelicata"/>
        </w:rPr>
        <w:t>Massimo 4 proroghe</w:t>
      </w:r>
    </w:p>
    <w:p w:rsidR="00220491" w:rsidRDefault="00220491" w:rsidP="00220491">
      <w:pPr>
        <w:pStyle w:val="Paragrafoelenco"/>
        <w:numPr>
          <w:ilvl w:val="0"/>
          <w:numId w:val="1"/>
        </w:numPr>
        <w:spacing w:after="0" w:line="240" w:lineRule="auto"/>
        <w:jc w:val="both"/>
        <w:rPr>
          <w:rStyle w:val="Enfasidelicata"/>
        </w:rPr>
      </w:pPr>
      <w:r>
        <w:rPr>
          <w:rStyle w:val="Enfasidelicata"/>
        </w:rPr>
        <w:t>Maggiorazione contributiva dello 0,5% a partire dal 1° rinnovo</w:t>
      </w:r>
    </w:p>
    <w:p w:rsidR="00220491" w:rsidRDefault="00220491" w:rsidP="00220491">
      <w:pPr>
        <w:pStyle w:val="Paragrafoelenco"/>
        <w:numPr>
          <w:ilvl w:val="0"/>
          <w:numId w:val="1"/>
        </w:numPr>
        <w:spacing w:after="0" w:line="240" w:lineRule="auto"/>
        <w:jc w:val="both"/>
        <w:rPr>
          <w:rStyle w:val="Enfasidelicata"/>
        </w:rPr>
      </w:pPr>
      <w:r>
        <w:rPr>
          <w:rStyle w:val="Enfasidelicata"/>
        </w:rPr>
        <w:t>Possibilità di un ulteriore contratto in deroga di durata massima di 12 mesi, oltre il tetto complessivo di 24 mesi, da stipularsi presso l’Ispettorato Territoriale del Lavoro (ITL).</w:t>
      </w:r>
    </w:p>
    <w:p w:rsidR="00220491" w:rsidRDefault="00220491" w:rsidP="00220491">
      <w:pPr>
        <w:pStyle w:val="Paragrafoelenco"/>
        <w:numPr>
          <w:ilvl w:val="0"/>
          <w:numId w:val="1"/>
        </w:numPr>
        <w:spacing w:after="0" w:line="240" w:lineRule="auto"/>
        <w:jc w:val="both"/>
        <w:rPr>
          <w:rStyle w:val="Enfasidelicata"/>
        </w:rPr>
      </w:pPr>
      <w:r>
        <w:rPr>
          <w:rStyle w:val="Enfasidelicata"/>
        </w:rPr>
        <w:t>Stop &amp; Go (applicazione dello stacco di 10 o 20 giorni tra contratto e rinnovo)</w:t>
      </w:r>
    </w:p>
    <w:p w:rsidR="00A57957" w:rsidRDefault="00220491" w:rsidP="00220491">
      <w:pPr>
        <w:spacing w:after="0" w:line="240" w:lineRule="auto"/>
        <w:jc w:val="both"/>
        <w:rPr>
          <w:rStyle w:val="Enfasidelicata"/>
        </w:rPr>
      </w:pPr>
      <w:r>
        <w:rPr>
          <w:rStyle w:val="Enfasidelicata"/>
        </w:rPr>
        <w:t xml:space="preserve">Resta fermo che non sono previsti tetti di contingentamento ad assunzioni di somministrati (diversamente dal tetto del 20% stabilito in caso di contratto a tempo determinato diretto), </w:t>
      </w:r>
      <w:r w:rsidR="00A57957">
        <w:rPr>
          <w:rStyle w:val="Enfasidelicata"/>
        </w:rPr>
        <w:t xml:space="preserve">salvo eventuali limiti percentuali previsti dalla </w:t>
      </w:r>
      <w:r>
        <w:rPr>
          <w:rStyle w:val="Enfasidelicata"/>
        </w:rPr>
        <w:t>contrattazione collettiva</w:t>
      </w:r>
      <w:r w:rsidR="00A57957">
        <w:rPr>
          <w:rStyle w:val="Enfasidelicata"/>
        </w:rPr>
        <w:t>, anche aziendale, applicata dall’utilizzatore.</w:t>
      </w:r>
    </w:p>
    <w:p w:rsidR="00E13D7A" w:rsidRDefault="00E13D7A" w:rsidP="00220491">
      <w:pPr>
        <w:spacing w:after="0" w:line="240" w:lineRule="auto"/>
        <w:jc w:val="both"/>
        <w:rPr>
          <w:rStyle w:val="Enfasidelicata"/>
        </w:rPr>
      </w:pPr>
    </w:p>
    <w:p w:rsidR="00220491" w:rsidRDefault="00A57957" w:rsidP="00220491">
      <w:pPr>
        <w:spacing w:after="0" w:line="240" w:lineRule="auto"/>
        <w:jc w:val="both"/>
        <w:rPr>
          <w:rStyle w:val="Enfasidelicata"/>
        </w:rPr>
      </w:pPr>
      <w:r>
        <w:rPr>
          <w:rStyle w:val="Enfasidelicata"/>
        </w:rPr>
        <w:t xml:space="preserve"> </w:t>
      </w:r>
      <w:r w:rsidR="00220491">
        <w:rPr>
          <w:rStyle w:val="Enfasidelicata"/>
        </w:rPr>
        <w:t xml:space="preserve"> </w:t>
      </w:r>
    </w:p>
    <w:p w:rsidR="001D1E71" w:rsidRPr="00DF0224" w:rsidRDefault="00DF0224" w:rsidP="00E573C8">
      <w:pPr>
        <w:pStyle w:val="Paragrafoelenco"/>
        <w:numPr>
          <w:ilvl w:val="0"/>
          <w:numId w:val="1"/>
        </w:numPr>
        <w:spacing w:after="0" w:line="240" w:lineRule="auto"/>
        <w:jc w:val="both"/>
        <w:rPr>
          <w:rStyle w:val="Enfasidelicata"/>
          <w:b/>
          <w:color w:val="002060"/>
        </w:rPr>
      </w:pPr>
      <w:r>
        <w:rPr>
          <w:rStyle w:val="Enfasidelicata"/>
          <w:b/>
          <w:color w:val="002060"/>
        </w:rPr>
        <w:t>LE “</w:t>
      </w:r>
      <w:r w:rsidR="00D2265D" w:rsidRPr="00DF0224">
        <w:rPr>
          <w:rStyle w:val="Enfasidelicata"/>
          <w:b/>
          <w:color w:val="002060"/>
        </w:rPr>
        <w:t>TUTELE CRESCENTI</w:t>
      </w:r>
      <w:r>
        <w:rPr>
          <w:rStyle w:val="Enfasidelicata"/>
          <w:b/>
          <w:color w:val="002060"/>
        </w:rPr>
        <w:t>” E L’</w:t>
      </w:r>
      <w:r w:rsidR="00D2265D" w:rsidRPr="00DF0224">
        <w:rPr>
          <w:rStyle w:val="Enfasidelicata"/>
          <w:b/>
          <w:color w:val="002060"/>
        </w:rPr>
        <w:t xml:space="preserve">INNALZAMENTO </w:t>
      </w:r>
      <w:r>
        <w:rPr>
          <w:rStyle w:val="Enfasidelicata"/>
          <w:b/>
          <w:color w:val="002060"/>
        </w:rPr>
        <w:t>DELL’</w:t>
      </w:r>
      <w:r w:rsidR="00D2265D" w:rsidRPr="00DF0224">
        <w:rPr>
          <w:rStyle w:val="Enfasidelicata"/>
          <w:b/>
          <w:color w:val="002060"/>
        </w:rPr>
        <w:t>INDENNITA’ ECONOMICA PER LICENZIAMENTO ILLEGITTIMO</w:t>
      </w:r>
      <w:r w:rsidR="007B1A60" w:rsidRPr="00DF0224">
        <w:rPr>
          <w:rStyle w:val="Enfasidelicata"/>
          <w:b/>
          <w:color w:val="002060"/>
        </w:rPr>
        <w:t xml:space="preserve"> </w:t>
      </w:r>
    </w:p>
    <w:p w:rsidR="009F7162" w:rsidRDefault="009F7162" w:rsidP="009F7162">
      <w:pPr>
        <w:spacing w:after="0" w:line="240" w:lineRule="auto"/>
        <w:jc w:val="both"/>
        <w:rPr>
          <w:rStyle w:val="Enfasidelicata"/>
        </w:rPr>
      </w:pPr>
      <w:r>
        <w:rPr>
          <w:rStyle w:val="Enfasidelicata"/>
        </w:rPr>
        <w:t xml:space="preserve">Il Decreto Dignità apporta una modifica al regime sanzionatorio delle tutele crescenti di cui al d.lgs 23/2015 (attuativo del Jobs Act). In caso di illegittimo licenziamento per motivo oggettivo ed in caso di illegittimo </w:t>
      </w:r>
      <w:r>
        <w:rPr>
          <w:rStyle w:val="Enfasidelicata"/>
        </w:rPr>
        <w:lastRenderedPageBreak/>
        <w:t xml:space="preserve">licenziamento disciplinare (quindi sia per giusta causa che giustificato motivo soggettivo), di lavoratrici e lavoratori assunti dopo il 7 marzo 2015, </w:t>
      </w:r>
      <w:r w:rsidR="00F33CD8">
        <w:rPr>
          <w:rStyle w:val="Enfasidelicata"/>
        </w:rPr>
        <w:t>la vigente</w:t>
      </w:r>
      <w:r>
        <w:rPr>
          <w:rStyle w:val="Enfasidelicata"/>
        </w:rPr>
        <w:t xml:space="preserve"> indennità economica </w:t>
      </w:r>
      <w:r w:rsidR="005B2484">
        <w:rPr>
          <w:rStyle w:val="Enfasidelicata"/>
        </w:rPr>
        <w:t>(</w:t>
      </w:r>
      <w:r>
        <w:rPr>
          <w:rStyle w:val="Enfasidelicata"/>
        </w:rPr>
        <w:t xml:space="preserve">pari a </w:t>
      </w:r>
      <w:r w:rsidR="005B2484">
        <w:rPr>
          <w:rStyle w:val="Enfasidelicata"/>
        </w:rPr>
        <w:t>2</w:t>
      </w:r>
      <w:r>
        <w:rPr>
          <w:rStyle w:val="Enfasidelicata"/>
        </w:rPr>
        <w:t xml:space="preserve"> mensilità </w:t>
      </w:r>
      <w:r w:rsidR="005B2484">
        <w:rPr>
          <w:rStyle w:val="Enfasidelicata"/>
        </w:rPr>
        <w:t xml:space="preserve">per ogni anno di servizio, in misura non inferiore a 4 mensilità in caso di licenziamento illegittimo nel corso del primo anno di contratto e non superiore a 24 mensilità), </w:t>
      </w:r>
      <w:r w:rsidR="00F33CD8">
        <w:rPr>
          <w:rStyle w:val="Enfasidelicata"/>
        </w:rPr>
        <w:t xml:space="preserve">viene innalzata </w:t>
      </w:r>
      <w:r w:rsidR="005B2484">
        <w:rPr>
          <w:rStyle w:val="Enfasidelicata"/>
        </w:rPr>
        <w:t xml:space="preserve">a </w:t>
      </w:r>
      <w:r w:rsidR="005B2484" w:rsidRPr="005B2484">
        <w:rPr>
          <w:rStyle w:val="Enfasidelicata"/>
          <w:b/>
        </w:rPr>
        <w:t>6 mensilità</w:t>
      </w:r>
      <w:r w:rsidR="005B2484">
        <w:rPr>
          <w:rStyle w:val="Enfasidelicata"/>
        </w:rPr>
        <w:t xml:space="preserve"> in caso di licenziamento illegittimo nel corso del primo anno di servizio, fino ad un massimo di </w:t>
      </w:r>
      <w:r w:rsidR="005B2484" w:rsidRPr="005B2484">
        <w:rPr>
          <w:rStyle w:val="Enfasidelicata"/>
          <w:b/>
        </w:rPr>
        <w:t>36 mensilità</w:t>
      </w:r>
      <w:r w:rsidR="005B2484">
        <w:rPr>
          <w:rStyle w:val="Enfasidelicata"/>
        </w:rPr>
        <w:t>”</w:t>
      </w:r>
      <w:r w:rsidR="00F33CD8">
        <w:rPr>
          <w:rStyle w:val="Enfasidelicata"/>
        </w:rPr>
        <w:t>,</w:t>
      </w:r>
      <w:r w:rsidR="005B2484">
        <w:rPr>
          <w:rStyle w:val="Enfasidelicata"/>
        </w:rPr>
        <w:t xml:space="preserve"> fermo restando che l’indennità cresce di 2 mensilità per ogni anno di servizio.</w:t>
      </w:r>
      <w:r w:rsidR="002D2019">
        <w:rPr>
          <w:rStyle w:val="Enfasidelicata"/>
        </w:rPr>
        <w:t xml:space="preserve"> Ricordiamo che tali somme di denaro sono a titolo risarcitorio e come tali sono esenti da imposizione contributiva.</w:t>
      </w:r>
    </w:p>
    <w:p w:rsidR="005B2484" w:rsidRDefault="005B2484" w:rsidP="009F7162">
      <w:pPr>
        <w:spacing w:after="0" w:line="240" w:lineRule="auto"/>
        <w:jc w:val="both"/>
        <w:rPr>
          <w:rStyle w:val="Enfasidelicata"/>
        </w:rPr>
      </w:pPr>
    </w:p>
    <w:tbl>
      <w:tblPr>
        <w:tblStyle w:val="Grigliatabella"/>
        <w:tblW w:w="5000" w:type="pct"/>
        <w:tblInd w:w="0" w:type="dxa"/>
        <w:tblLook w:val="04A0" w:firstRow="1" w:lastRow="0" w:firstColumn="1" w:lastColumn="0" w:noHBand="0" w:noVBand="1"/>
      </w:tblPr>
      <w:tblGrid>
        <w:gridCol w:w="2535"/>
        <w:gridCol w:w="2668"/>
        <w:gridCol w:w="2119"/>
        <w:gridCol w:w="2532"/>
      </w:tblGrid>
      <w:tr w:rsidR="005B2484" w:rsidRPr="00DF0224" w:rsidTr="00DF0224">
        <w:tc>
          <w:tcPr>
            <w:tcW w:w="1286" w:type="pct"/>
            <w:shd w:val="clear" w:color="auto" w:fill="F2F2F2" w:themeFill="background1" w:themeFillShade="F2"/>
          </w:tcPr>
          <w:p w:rsidR="005B2484" w:rsidRPr="00DF0224" w:rsidRDefault="00DF0224" w:rsidP="00DF0224">
            <w:pPr>
              <w:jc w:val="center"/>
              <w:rPr>
                <w:rStyle w:val="Enfasidelicata"/>
                <w:b/>
                <w:sz w:val="18"/>
                <w:szCs w:val="18"/>
              </w:rPr>
            </w:pPr>
            <w:r w:rsidRPr="00DF0224">
              <w:rPr>
                <w:rStyle w:val="Enfasidelicata"/>
                <w:b/>
                <w:sz w:val="18"/>
                <w:szCs w:val="18"/>
              </w:rPr>
              <w:t>CALCOLO DELL’INDENNITA’ ECONOMICA PER LICENZIAMENTO ILLEGITTIMO</w:t>
            </w:r>
          </w:p>
        </w:tc>
        <w:tc>
          <w:tcPr>
            <w:tcW w:w="1354" w:type="pct"/>
            <w:shd w:val="clear" w:color="auto" w:fill="F2F2F2" w:themeFill="background1" w:themeFillShade="F2"/>
          </w:tcPr>
          <w:p w:rsidR="005B2484" w:rsidRPr="00DF0224" w:rsidRDefault="005B2484" w:rsidP="00DF0224">
            <w:pPr>
              <w:jc w:val="center"/>
              <w:rPr>
                <w:rStyle w:val="Enfasidelicata"/>
                <w:b/>
                <w:sz w:val="18"/>
                <w:szCs w:val="18"/>
              </w:rPr>
            </w:pPr>
            <w:r w:rsidRPr="00DF0224">
              <w:rPr>
                <w:rStyle w:val="Enfasidelicata"/>
                <w:b/>
                <w:sz w:val="18"/>
                <w:szCs w:val="18"/>
              </w:rPr>
              <w:t xml:space="preserve">Indennità economica in caso di licenziamento illegittimo nel 1° anno di contratto a tempo indeterminato </w:t>
            </w:r>
            <w:r w:rsidR="002D2019" w:rsidRPr="00DF0224">
              <w:rPr>
                <w:rStyle w:val="Enfasidelicata"/>
                <w:b/>
                <w:sz w:val="18"/>
                <w:szCs w:val="18"/>
              </w:rPr>
              <w:t>a tutele crescenti</w:t>
            </w:r>
          </w:p>
        </w:tc>
        <w:tc>
          <w:tcPr>
            <w:tcW w:w="1075" w:type="pct"/>
            <w:shd w:val="clear" w:color="auto" w:fill="F2F2F2" w:themeFill="background1" w:themeFillShade="F2"/>
          </w:tcPr>
          <w:p w:rsidR="005B2484" w:rsidRPr="00DF0224" w:rsidRDefault="002D2019" w:rsidP="00DF0224">
            <w:pPr>
              <w:jc w:val="center"/>
              <w:rPr>
                <w:rStyle w:val="Enfasidelicata"/>
                <w:b/>
                <w:sz w:val="18"/>
                <w:szCs w:val="18"/>
              </w:rPr>
            </w:pPr>
            <w:r w:rsidRPr="00DF0224">
              <w:rPr>
                <w:rStyle w:val="Enfasidelicata"/>
                <w:b/>
                <w:sz w:val="18"/>
                <w:szCs w:val="18"/>
              </w:rPr>
              <w:t xml:space="preserve">Numero di mensilità </w:t>
            </w:r>
            <w:r w:rsidR="005B2484" w:rsidRPr="00DF0224">
              <w:rPr>
                <w:rStyle w:val="Enfasidelicata"/>
                <w:b/>
                <w:sz w:val="18"/>
                <w:szCs w:val="18"/>
              </w:rPr>
              <w:t xml:space="preserve">retributive </w:t>
            </w:r>
            <w:r w:rsidRPr="00DF0224">
              <w:rPr>
                <w:rStyle w:val="Enfasidelicata"/>
                <w:b/>
                <w:sz w:val="18"/>
                <w:szCs w:val="18"/>
              </w:rPr>
              <w:t xml:space="preserve">aggiuntive </w:t>
            </w:r>
            <w:r w:rsidR="005B2484" w:rsidRPr="00DF0224">
              <w:rPr>
                <w:rStyle w:val="Enfasidelicata"/>
                <w:b/>
                <w:sz w:val="18"/>
                <w:szCs w:val="18"/>
              </w:rPr>
              <w:t>per ogni anno di servizio</w:t>
            </w:r>
          </w:p>
        </w:tc>
        <w:tc>
          <w:tcPr>
            <w:tcW w:w="1285" w:type="pct"/>
            <w:shd w:val="clear" w:color="auto" w:fill="F2F2F2" w:themeFill="background1" w:themeFillShade="F2"/>
          </w:tcPr>
          <w:p w:rsidR="005B2484" w:rsidRPr="00DF0224" w:rsidRDefault="005B2484" w:rsidP="00DF0224">
            <w:pPr>
              <w:jc w:val="center"/>
              <w:rPr>
                <w:rStyle w:val="Enfasidelicata"/>
                <w:b/>
                <w:sz w:val="18"/>
                <w:szCs w:val="18"/>
              </w:rPr>
            </w:pPr>
            <w:r w:rsidRPr="00DF0224">
              <w:rPr>
                <w:rStyle w:val="Enfasidelicata"/>
                <w:b/>
                <w:sz w:val="18"/>
                <w:szCs w:val="18"/>
              </w:rPr>
              <w:t>Indennità economica massima</w:t>
            </w:r>
          </w:p>
        </w:tc>
      </w:tr>
      <w:tr w:rsidR="005B2484" w:rsidRPr="005B2484" w:rsidTr="00520E66">
        <w:tc>
          <w:tcPr>
            <w:tcW w:w="1286" w:type="pct"/>
          </w:tcPr>
          <w:p w:rsidR="005B2484" w:rsidRPr="005B2484" w:rsidRDefault="005B2484" w:rsidP="005B2484">
            <w:pPr>
              <w:rPr>
                <w:rStyle w:val="Enfasidelicata"/>
                <w:sz w:val="18"/>
                <w:szCs w:val="18"/>
              </w:rPr>
            </w:pPr>
            <w:r w:rsidRPr="005B2484">
              <w:rPr>
                <w:rStyle w:val="Enfasidelicata"/>
                <w:sz w:val="18"/>
                <w:szCs w:val="18"/>
              </w:rPr>
              <w:t>Calcolo indennità economica art. 3, comma 1 d.lgs 23/2015</w:t>
            </w:r>
          </w:p>
        </w:tc>
        <w:tc>
          <w:tcPr>
            <w:tcW w:w="1354" w:type="pct"/>
          </w:tcPr>
          <w:p w:rsidR="005B2484" w:rsidRPr="005B2484" w:rsidRDefault="005B2484" w:rsidP="009F7162">
            <w:pPr>
              <w:jc w:val="both"/>
              <w:rPr>
                <w:rStyle w:val="Enfasidelicata"/>
                <w:sz w:val="18"/>
                <w:szCs w:val="18"/>
              </w:rPr>
            </w:pPr>
            <w:r w:rsidRPr="005B2484">
              <w:rPr>
                <w:rStyle w:val="Enfasidelicata"/>
                <w:sz w:val="18"/>
                <w:szCs w:val="18"/>
              </w:rPr>
              <w:t>4</w:t>
            </w:r>
          </w:p>
        </w:tc>
        <w:tc>
          <w:tcPr>
            <w:tcW w:w="1075" w:type="pct"/>
          </w:tcPr>
          <w:p w:rsidR="005B2484" w:rsidRPr="005B2484" w:rsidRDefault="005B2484" w:rsidP="009F7162">
            <w:pPr>
              <w:jc w:val="both"/>
              <w:rPr>
                <w:rStyle w:val="Enfasidelicata"/>
                <w:sz w:val="18"/>
                <w:szCs w:val="18"/>
              </w:rPr>
            </w:pPr>
            <w:r w:rsidRPr="005B2484">
              <w:rPr>
                <w:rStyle w:val="Enfasidelicata"/>
                <w:sz w:val="18"/>
                <w:szCs w:val="18"/>
              </w:rPr>
              <w:t>2</w:t>
            </w:r>
          </w:p>
        </w:tc>
        <w:tc>
          <w:tcPr>
            <w:tcW w:w="1285" w:type="pct"/>
          </w:tcPr>
          <w:p w:rsidR="005B2484" w:rsidRPr="005B2484" w:rsidRDefault="005B2484" w:rsidP="009F7162">
            <w:pPr>
              <w:jc w:val="both"/>
              <w:rPr>
                <w:rStyle w:val="Enfasidelicata"/>
                <w:sz w:val="18"/>
                <w:szCs w:val="18"/>
              </w:rPr>
            </w:pPr>
            <w:r w:rsidRPr="005B2484">
              <w:rPr>
                <w:rStyle w:val="Enfasidelicata"/>
                <w:sz w:val="18"/>
                <w:szCs w:val="18"/>
              </w:rPr>
              <w:t>24</w:t>
            </w:r>
          </w:p>
        </w:tc>
      </w:tr>
      <w:tr w:rsidR="005B2484" w:rsidRPr="005B2484" w:rsidTr="00520E66">
        <w:tc>
          <w:tcPr>
            <w:tcW w:w="1286" w:type="pct"/>
          </w:tcPr>
          <w:p w:rsidR="005B2484" w:rsidRPr="005B2484" w:rsidRDefault="005B2484" w:rsidP="005B2484">
            <w:pPr>
              <w:rPr>
                <w:rStyle w:val="Enfasidelicata"/>
                <w:sz w:val="18"/>
                <w:szCs w:val="18"/>
              </w:rPr>
            </w:pPr>
            <w:r w:rsidRPr="005B2484">
              <w:rPr>
                <w:rStyle w:val="Enfasidelicata"/>
                <w:sz w:val="18"/>
                <w:szCs w:val="18"/>
              </w:rPr>
              <w:t>Calcolo indennità economica con modifica del Decreto Dignità</w:t>
            </w:r>
          </w:p>
        </w:tc>
        <w:tc>
          <w:tcPr>
            <w:tcW w:w="1354" w:type="pct"/>
          </w:tcPr>
          <w:p w:rsidR="005B2484" w:rsidRPr="00520E66" w:rsidRDefault="005B2484" w:rsidP="009F7162">
            <w:pPr>
              <w:jc w:val="both"/>
              <w:rPr>
                <w:rStyle w:val="Enfasidelicata"/>
                <w:b/>
                <w:sz w:val="18"/>
                <w:szCs w:val="18"/>
              </w:rPr>
            </w:pPr>
            <w:r w:rsidRPr="00520E66">
              <w:rPr>
                <w:rStyle w:val="Enfasidelicata"/>
                <w:b/>
                <w:sz w:val="18"/>
                <w:szCs w:val="18"/>
              </w:rPr>
              <w:t>6</w:t>
            </w:r>
          </w:p>
        </w:tc>
        <w:tc>
          <w:tcPr>
            <w:tcW w:w="1075" w:type="pct"/>
          </w:tcPr>
          <w:p w:rsidR="005B2484" w:rsidRPr="005B2484" w:rsidRDefault="005B2484" w:rsidP="009F7162">
            <w:pPr>
              <w:jc w:val="both"/>
              <w:rPr>
                <w:rStyle w:val="Enfasidelicata"/>
                <w:sz w:val="18"/>
                <w:szCs w:val="18"/>
              </w:rPr>
            </w:pPr>
            <w:r w:rsidRPr="005B2484">
              <w:rPr>
                <w:rStyle w:val="Enfasidelicata"/>
                <w:sz w:val="18"/>
                <w:szCs w:val="18"/>
              </w:rPr>
              <w:t>2</w:t>
            </w:r>
          </w:p>
        </w:tc>
        <w:tc>
          <w:tcPr>
            <w:tcW w:w="1285" w:type="pct"/>
          </w:tcPr>
          <w:p w:rsidR="005B2484" w:rsidRPr="00520E66" w:rsidRDefault="005B2484" w:rsidP="009F7162">
            <w:pPr>
              <w:jc w:val="both"/>
              <w:rPr>
                <w:rStyle w:val="Enfasidelicata"/>
                <w:b/>
                <w:sz w:val="18"/>
                <w:szCs w:val="18"/>
              </w:rPr>
            </w:pPr>
            <w:r w:rsidRPr="00520E66">
              <w:rPr>
                <w:rStyle w:val="Enfasidelicata"/>
                <w:b/>
                <w:sz w:val="18"/>
                <w:szCs w:val="18"/>
              </w:rPr>
              <w:t>36</w:t>
            </w:r>
          </w:p>
        </w:tc>
      </w:tr>
    </w:tbl>
    <w:p w:rsidR="00520E66" w:rsidRPr="00966260" w:rsidRDefault="00520E66" w:rsidP="00520E66">
      <w:pPr>
        <w:spacing w:after="0" w:line="240" w:lineRule="auto"/>
        <w:rPr>
          <w:rFonts w:ascii="Calibri" w:eastAsia="Calibri" w:hAnsi="Calibri" w:cs="Times New Roman"/>
          <w:i/>
          <w:iCs/>
          <w:color w:val="808080" w:themeColor="text1" w:themeTint="7F"/>
          <w:sz w:val="16"/>
          <w:szCs w:val="16"/>
        </w:rPr>
      </w:pPr>
      <w:r w:rsidRPr="00966260">
        <w:rPr>
          <w:rFonts w:ascii="Calibri" w:eastAsia="Calibri" w:hAnsi="Calibri" w:cs="Times New Roman"/>
          <w:i/>
          <w:iCs/>
          <w:color w:val="808080" w:themeColor="text1" w:themeTint="7F"/>
          <w:sz w:val="16"/>
          <w:szCs w:val="16"/>
        </w:rPr>
        <w:t>UIL-Servizio Politiche Attive e Passive del Lavoro</w:t>
      </w:r>
    </w:p>
    <w:p w:rsidR="005B2484" w:rsidRDefault="005B2484" w:rsidP="009F7162">
      <w:pPr>
        <w:spacing w:after="0" w:line="240" w:lineRule="auto"/>
        <w:jc w:val="both"/>
        <w:rPr>
          <w:rStyle w:val="Enfasidelicata"/>
        </w:rPr>
      </w:pPr>
    </w:p>
    <w:p w:rsidR="009F7162" w:rsidRDefault="006F7283" w:rsidP="009F7162">
      <w:pPr>
        <w:spacing w:after="0" w:line="240" w:lineRule="auto"/>
        <w:jc w:val="both"/>
        <w:rPr>
          <w:rStyle w:val="Enfasidelicata"/>
        </w:rPr>
      </w:pPr>
      <w:r>
        <w:rPr>
          <w:rStyle w:val="Enfasidelicata"/>
        </w:rPr>
        <w:t xml:space="preserve">Tale novità non può che trovarci favorevoli, poiché è volta </w:t>
      </w:r>
      <w:r w:rsidR="00FA70F7">
        <w:rPr>
          <w:rStyle w:val="Enfasidelicata"/>
        </w:rPr>
        <w:t xml:space="preserve">a rendere un po’ più di giustizia a tutte quelle lavoratrici e lavoratori che sono oggetto di licenziamenti ingiusti. Certamente l’indennità non ristorerà mai la perdita di un posto di lavoro e lo stato di diseguaglianza rispetto ad altri colleghi che, a fronte dello stesso tipo di licenziamento, </w:t>
      </w:r>
      <w:r w:rsidR="00D201FB">
        <w:rPr>
          <w:rStyle w:val="Enfasidelicata"/>
        </w:rPr>
        <w:t>vedranno la reintegrazione nel posto di lavoro</w:t>
      </w:r>
      <w:r w:rsidR="00FA70F7">
        <w:rPr>
          <w:rStyle w:val="Enfasidelicata"/>
        </w:rPr>
        <w:t>. E’ quindi chiaro che intravediamo in questa novità un passo in avanti nella tutela della dignità dei lavoratori, ma non la giusta tutela.</w:t>
      </w:r>
    </w:p>
    <w:p w:rsidR="00FA70F7" w:rsidRDefault="00FA70F7" w:rsidP="009F7162">
      <w:pPr>
        <w:spacing w:after="0" w:line="240" w:lineRule="auto"/>
        <w:jc w:val="both"/>
        <w:rPr>
          <w:rStyle w:val="Enfasidelicata"/>
        </w:rPr>
      </w:pPr>
    </w:p>
    <w:p w:rsidR="009F7162" w:rsidRDefault="009F7162" w:rsidP="009F7162">
      <w:pPr>
        <w:spacing w:after="0" w:line="240" w:lineRule="auto"/>
        <w:jc w:val="both"/>
        <w:rPr>
          <w:rStyle w:val="Enfasidelicata"/>
        </w:rPr>
      </w:pPr>
      <w:r>
        <w:rPr>
          <w:rStyle w:val="Enfasidelicata"/>
        </w:rPr>
        <w:t xml:space="preserve"> </w:t>
      </w:r>
    </w:p>
    <w:p w:rsidR="005B38DC" w:rsidRDefault="005B38DC" w:rsidP="009F7162">
      <w:pPr>
        <w:spacing w:after="0" w:line="240" w:lineRule="auto"/>
        <w:jc w:val="both"/>
        <w:rPr>
          <w:rStyle w:val="Enfasidelicata"/>
        </w:rPr>
      </w:pPr>
    </w:p>
    <w:p w:rsidR="00D2265D" w:rsidRDefault="00E573C8" w:rsidP="00E573C8">
      <w:pPr>
        <w:tabs>
          <w:tab w:val="left" w:pos="3444"/>
        </w:tabs>
        <w:spacing w:after="0" w:line="240" w:lineRule="auto"/>
        <w:jc w:val="both"/>
        <w:rPr>
          <w:rStyle w:val="Enfasidelicata"/>
        </w:rPr>
      </w:pPr>
      <w:r>
        <w:rPr>
          <w:rStyle w:val="Enfasidelicata"/>
        </w:rPr>
        <w:tab/>
      </w:r>
    </w:p>
    <w:p w:rsidR="00D2265D" w:rsidRDefault="00D2265D" w:rsidP="00E573C8">
      <w:pPr>
        <w:spacing w:after="0" w:line="240" w:lineRule="auto"/>
        <w:jc w:val="both"/>
        <w:rPr>
          <w:rStyle w:val="Enfasidelicata"/>
        </w:rPr>
      </w:pPr>
    </w:p>
    <w:p w:rsidR="00D2265D" w:rsidRDefault="00D2265D" w:rsidP="00E573C8">
      <w:pPr>
        <w:spacing w:after="0" w:line="240" w:lineRule="auto"/>
        <w:jc w:val="both"/>
        <w:rPr>
          <w:rStyle w:val="Enfasidelicata"/>
        </w:rPr>
      </w:pPr>
    </w:p>
    <w:p w:rsidR="009B5A3F" w:rsidRDefault="008B2D51" w:rsidP="00E573C8">
      <w:pPr>
        <w:spacing w:after="0" w:line="240" w:lineRule="auto"/>
        <w:jc w:val="both"/>
        <w:rPr>
          <w:rStyle w:val="Enfasidelicata"/>
        </w:rPr>
      </w:pPr>
      <w:r>
        <w:rPr>
          <w:rStyle w:val="Enfasidelicata"/>
        </w:rPr>
        <w:t xml:space="preserve"> </w:t>
      </w:r>
      <w:r w:rsidR="00D30CA8">
        <w:rPr>
          <w:rStyle w:val="Enfasidelicata"/>
        </w:rPr>
        <w:t xml:space="preserve"> </w:t>
      </w:r>
      <w:r w:rsidR="004D3C50">
        <w:rPr>
          <w:rStyle w:val="Enfasidelicata"/>
        </w:rPr>
        <w:t xml:space="preserve"> </w:t>
      </w:r>
    </w:p>
    <w:sectPr w:rsidR="009B5A3F">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E0E" w:rsidRDefault="00690E0E" w:rsidP="00D2265D">
      <w:pPr>
        <w:spacing w:after="0" w:line="240" w:lineRule="auto"/>
      </w:pPr>
      <w:r>
        <w:separator/>
      </w:r>
    </w:p>
  </w:endnote>
  <w:endnote w:type="continuationSeparator" w:id="0">
    <w:p w:rsidR="00690E0E" w:rsidRDefault="00690E0E" w:rsidP="00D2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aur">
    <w:panose1 w:val="020305040502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E0E" w:rsidRDefault="00690E0E" w:rsidP="00D2265D">
      <w:pPr>
        <w:spacing w:after="0" w:line="240" w:lineRule="auto"/>
      </w:pPr>
      <w:r>
        <w:separator/>
      </w:r>
    </w:p>
  </w:footnote>
  <w:footnote w:type="continuationSeparator" w:id="0">
    <w:p w:rsidR="00690E0E" w:rsidRDefault="00690E0E" w:rsidP="00D226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8318649"/>
      <w:docPartObj>
        <w:docPartGallery w:val="Page Numbers (Margins)"/>
        <w:docPartUnique/>
      </w:docPartObj>
    </w:sdtPr>
    <w:sdtEndPr/>
    <w:sdtContent>
      <w:p w:rsidR="00D2265D" w:rsidRDefault="00D2265D">
        <w:r>
          <w:rPr>
            <w:noProof/>
            <w:lang w:eastAsia="it-IT"/>
          </w:rPr>
          <mc:AlternateContent>
            <mc:Choice Requires="wps">
              <w:drawing>
                <wp:anchor distT="0" distB="0" distL="114300" distR="114300" simplePos="0" relativeHeight="251659264" behindDoc="0" locked="0" layoutInCell="0" allowOverlap="1" wp14:editId="3DAF6EF6">
                  <wp:simplePos x="0" y="0"/>
                  <wp:positionH relativeFrom="rightMargin">
                    <wp:align>right</wp:align>
                  </wp:positionH>
                  <wp:positionV relativeFrom="margin">
                    <wp:align>center</wp:align>
                  </wp:positionV>
                  <wp:extent cx="727710" cy="329565"/>
                  <wp:effectExtent l="1905" t="0" r="1905" b="381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rsidR="00D2265D" w:rsidRDefault="00D2265D">
                              <w:pPr>
                                <w:pBdr>
                                  <w:bottom w:val="single" w:sz="4" w:space="1" w:color="auto"/>
                                </w:pBdr>
                              </w:pPr>
                              <w:r>
                                <w:fldChar w:fldCharType="begin"/>
                              </w:r>
                              <w:r>
                                <w:instrText>PAGE   \* MERGEFORMAT</w:instrText>
                              </w:r>
                              <w:r>
                                <w:fldChar w:fldCharType="separate"/>
                              </w:r>
                              <w:r w:rsidR="00856245">
                                <w:rPr>
                                  <w:noProof/>
                                </w:rPr>
                                <w:t>1</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ylGeA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" o:allowincell="f" stroked="f">
                  <v:textbox>
                    <w:txbxContent>
                      <w:p w:rsidR="00D2265D" w:rsidRDefault="00D2265D">
                        <w:pPr>
                          <w:pBdr>
                            <w:bottom w:val="single" w:sz="4" w:space="1" w:color="auto"/>
                          </w:pBdr>
                        </w:pPr>
                        <w:r>
                          <w:fldChar w:fldCharType="begin"/>
                        </w:r>
                        <w:r>
                          <w:instrText>PAGE   \* MERGEFORMAT</w:instrText>
                        </w:r>
                        <w:r>
                          <w:fldChar w:fldCharType="separate"/>
                        </w:r>
                        <w:r w:rsidR="00856245">
                          <w:rPr>
                            <w:noProof/>
                          </w:rPr>
                          <w:t>1</w:t>
                        </w:r>
                        <w: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3pt;height:11.3pt" o:bullet="t">
        <v:imagedata r:id="rId1" o:title="msoA8C6"/>
      </v:shape>
    </w:pict>
  </w:numPicBullet>
  <w:abstractNum w:abstractNumId="0">
    <w:nsid w:val="38C50F0B"/>
    <w:multiLevelType w:val="hybridMultilevel"/>
    <w:tmpl w:val="2DA45FF8"/>
    <w:lvl w:ilvl="0" w:tplc="D110DAC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26E26F8"/>
    <w:multiLevelType w:val="hybridMultilevel"/>
    <w:tmpl w:val="6FCED284"/>
    <w:lvl w:ilvl="0" w:tplc="04100007">
      <w:start w:val="1"/>
      <w:numFmt w:val="bullet"/>
      <w:lvlText w:val=""/>
      <w:lvlPicBulletId w:val="0"/>
      <w:lvlJc w:val="left"/>
      <w:pPr>
        <w:ind w:left="774" w:hanging="360"/>
      </w:pPr>
      <w:rPr>
        <w:rFonts w:ascii="Symbol" w:hAnsi="Symbol" w:hint="default"/>
      </w:rPr>
    </w:lvl>
    <w:lvl w:ilvl="1" w:tplc="04100003" w:tentative="1">
      <w:start w:val="1"/>
      <w:numFmt w:val="bullet"/>
      <w:lvlText w:val="o"/>
      <w:lvlJc w:val="left"/>
      <w:pPr>
        <w:ind w:left="1494" w:hanging="360"/>
      </w:pPr>
      <w:rPr>
        <w:rFonts w:ascii="Courier New" w:hAnsi="Courier New" w:cs="Courier New" w:hint="default"/>
      </w:rPr>
    </w:lvl>
    <w:lvl w:ilvl="2" w:tplc="04100005" w:tentative="1">
      <w:start w:val="1"/>
      <w:numFmt w:val="bullet"/>
      <w:lvlText w:val=""/>
      <w:lvlJc w:val="left"/>
      <w:pPr>
        <w:ind w:left="2214" w:hanging="360"/>
      </w:pPr>
      <w:rPr>
        <w:rFonts w:ascii="Wingdings" w:hAnsi="Wingdings" w:hint="default"/>
      </w:rPr>
    </w:lvl>
    <w:lvl w:ilvl="3" w:tplc="04100001" w:tentative="1">
      <w:start w:val="1"/>
      <w:numFmt w:val="bullet"/>
      <w:lvlText w:val=""/>
      <w:lvlJc w:val="left"/>
      <w:pPr>
        <w:ind w:left="2934" w:hanging="360"/>
      </w:pPr>
      <w:rPr>
        <w:rFonts w:ascii="Symbol" w:hAnsi="Symbol" w:hint="default"/>
      </w:rPr>
    </w:lvl>
    <w:lvl w:ilvl="4" w:tplc="04100003" w:tentative="1">
      <w:start w:val="1"/>
      <w:numFmt w:val="bullet"/>
      <w:lvlText w:val="o"/>
      <w:lvlJc w:val="left"/>
      <w:pPr>
        <w:ind w:left="3654" w:hanging="360"/>
      </w:pPr>
      <w:rPr>
        <w:rFonts w:ascii="Courier New" w:hAnsi="Courier New" w:cs="Courier New" w:hint="default"/>
      </w:rPr>
    </w:lvl>
    <w:lvl w:ilvl="5" w:tplc="04100005" w:tentative="1">
      <w:start w:val="1"/>
      <w:numFmt w:val="bullet"/>
      <w:lvlText w:val=""/>
      <w:lvlJc w:val="left"/>
      <w:pPr>
        <w:ind w:left="4374" w:hanging="360"/>
      </w:pPr>
      <w:rPr>
        <w:rFonts w:ascii="Wingdings" w:hAnsi="Wingdings" w:hint="default"/>
      </w:rPr>
    </w:lvl>
    <w:lvl w:ilvl="6" w:tplc="04100001" w:tentative="1">
      <w:start w:val="1"/>
      <w:numFmt w:val="bullet"/>
      <w:lvlText w:val=""/>
      <w:lvlJc w:val="left"/>
      <w:pPr>
        <w:ind w:left="5094" w:hanging="360"/>
      </w:pPr>
      <w:rPr>
        <w:rFonts w:ascii="Symbol" w:hAnsi="Symbol" w:hint="default"/>
      </w:rPr>
    </w:lvl>
    <w:lvl w:ilvl="7" w:tplc="04100003" w:tentative="1">
      <w:start w:val="1"/>
      <w:numFmt w:val="bullet"/>
      <w:lvlText w:val="o"/>
      <w:lvlJc w:val="left"/>
      <w:pPr>
        <w:ind w:left="5814" w:hanging="360"/>
      </w:pPr>
      <w:rPr>
        <w:rFonts w:ascii="Courier New" w:hAnsi="Courier New" w:cs="Courier New" w:hint="default"/>
      </w:rPr>
    </w:lvl>
    <w:lvl w:ilvl="8" w:tplc="04100005" w:tentative="1">
      <w:start w:val="1"/>
      <w:numFmt w:val="bullet"/>
      <w:lvlText w:val=""/>
      <w:lvlJc w:val="left"/>
      <w:pPr>
        <w:ind w:left="6534" w:hanging="360"/>
      </w:pPr>
      <w:rPr>
        <w:rFonts w:ascii="Wingdings" w:hAnsi="Wingdings" w:hint="default"/>
      </w:rPr>
    </w:lvl>
  </w:abstractNum>
  <w:abstractNum w:abstractNumId="2">
    <w:nsid w:val="4A6250E3"/>
    <w:multiLevelType w:val="hybridMultilevel"/>
    <w:tmpl w:val="084CA94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7BF126C7"/>
    <w:multiLevelType w:val="hybridMultilevel"/>
    <w:tmpl w:val="626AE7F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77A1"/>
    <w:rsid w:val="00061748"/>
    <w:rsid w:val="000624FF"/>
    <w:rsid w:val="00082244"/>
    <w:rsid w:val="00084092"/>
    <w:rsid w:val="000B2FC2"/>
    <w:rsid w:val="000C3AAA"/>
    <w:rsid w:val="000C3AE7"/>
    <w:rsid w:val="000D07FC"/>
    <w:rsid w:val="000D7FD3"/>
    <w:rsid w:val="000E1540"/>
    <w:rsid w:val="000F443B"/>
    <w:rsid w:val="000F504B"/>
    <w:rsid w:val="00100A99"/>
    <w:rsid w:val="00101D0B"/>
    <w:rsid w:val="001165A8"/>
    <w:rsid w:val="00136029"/>
    <w:rsid w:val="0016699F"/>
    <w:rsid w:val="00181E2B"/>
    <w:rsid w:val="001B7A1B"/>
    <w:rsid w:val="001C2785"/>
    <w:rsid w:val="001D1E71"/>
    <w:rsid w:val="00220491"/>
    <w:rsid w:val="002373F1"/>
    <w:rsid w:val="0024159E"/>
    <w:rsid w:val="00270759"/>
    <w:rsid w:val="0029323B"/>
    <w:rsid w:val="002D2019"/>
    <w:rsid w:val="002D32C9"/>
    <w:rsid w:val="002F196F"/>
    <w:rsid w:val="002F4F1C"/>
    <w:rsid w:val="002F77BA"/>
    <w:rsid w:val="003023FB"/>
    <w:rsid w:val="003037D3"/>
    <w:rsid w:val="00312377"/>
    <w:rsid w:val="00334EB8"/>
    <w:rsid w:val="00337B2E"/>
    <w:rsid w:val="00373FE8"/>
    <w:rsid w:val="00376678"/>
    <w:rsid w:val="003A07B7"/>
    <w:rsid w:val="003C36DB"/>
    <w:rsid w:val="003D27DB"/>
    <w:rsid w:val="004117CE"/>
    <w:rsid w:val="00421777"/>
    <w:rsid w:val="004269D7"/>
    <w:rsid w:val="00496DEB"/>
    <w:rsid w:val="004A2D24"/>
    <w:rsid w:val="004B2B3A"/>
    <w:rsid w:val="004D3C50"/>
    <w:rsid w:val="004E7168"/>
    <w:rsid w:val="004F09FE"/>
    <w:rsid w:val="0050155B"/>
    <w:rsid w:val="005134D1"/>
    <w:rsid w:val="00520E66"/>
    <w:rsid w:val="00527E6B"/>
    <w:rsid w:val="005553AF"/>
    <w:rsid w:val="00562B2C"/>
    <w:rsid w:val="00565B68"/>
    <w:rsid w:val="00573410"/>
    <w:rsid w:val="005877E5"/>
    <w:rsid w:val="005B2484"/>
    <w:rsid w:val="005B38DC"/>
    <w:rsid w:val="005E760A"/>
    <w:rsid w:val="006028A9"/>
    <w:rsid w:val="00602F27"/>
    <w:rsid w:val="0061762B"/>
    <w:rsid w:val="006274FD"/>
    <w:rsid w:val="0063138A"/>
    <w:rsid w:val="00672479"/>
    <w:rsid w:val="00673EE9"/>
    <w:rsid w:val="00683F43"/>
    <w:rsid w:val="00690E0E"/>
    <w:rsid w:val="006A0994"/>
    <w:rsid w:val="006C2449"/>
    <w:rsid w:val="006F57CB"/>
    <w:rsid w:val="006F7283"/>
    <w:rsid w:val="00712CBC"/>
    <w:rsid w:val="00724DF7"/>
    <w:rsid w:val="0073799A"/>
    <w:rsid w:val="00740775"/>
    <w:rsid w:val="007516A0"/>
    <w:rsid w:val="00764BAB"/>
    <w:rsid w:val="007815DB"/>
    <w:rsid w:val="00784BE5"/>
    <w:rsid w:val="007B1A60"/>
    <w:rsid w:val="007B53C4"/>
    <w:rsid w:val="007B7BE3"/>
    <w:rsid w:val="007C3E0F"/>
    <w:rsid w:val="007C5357"/>
    <w:rsid w:val="007F1819"/>
    <w:rsid w:val="00804123"/>
    <w:rsid w:val="008235C3"/>
    <w:rsid w:val="008444DD"/>
    <w:rsid w:val="0085370A"/>
    <w:rsid w:val="00856245"/>
    <w:rsid w:val="00885541"/>
    <w:rsid w:val="008A0248"/>
    <w:rsid w:val="008A7878"/>
    <w:rsid w:val="008B2D51"/>
    <w:rsid w:val="008B648B"/>
    <w:rsid w:val="008F4F44"/>
    <w:rsid w:val="00933365"/>
    <w:rsid w:val="00933591"/>
    <w:rsid w:val="009346E2"/>
    <w:rsid w:val="00966260"/>
    <w:rsid w:val="00980A42"/>
    <w:rsid w:val="009836BA"/>
    <w:rsid w:val="009B5A3F"/>
    <w:rsid w:val="009C076D"/>
    <w:rsid w:val="009F225E"/>
    <w:rsid w:val="009F7162"/>
    <w:rsid w:val="00A370B0"/>
    <w:rsid w:val="00A43A4F"/>
    <w:rsid w:val="00A43E13"/>
    <w:rsid w:val="00A563A1"/>
    <w:rsid w:val="00A57957"/>
    <w:rsid w:val="00A647DD"/>
    <w:rsid w:val="00AC2CB9"/>
    <w:rsid w:val="00AE3427"/>
    <w:rsid w:val="00B11B01"/>
    <w:rsid w:val="00B545AF"/>
    <w:rsid w:val="00B83652"/>
    <w:rsid w:val="00B91B16"/>
    <w:rsid w:val="00B94569"/>
    <w:rsid w:val="00BD2295"/>
    <w:rsid w:val="00BE1A5F"/>
    <w:rsid w:val="00BE6BD5"/>
    <w:rsid w:val="00BF2A94"/>
    <w:rsid w:val="00BF4B31"/>
    <w:rsid w:val="00BF77A1"/>
    <w:rsid w:val="00C07BA1"/>
    <w:rsid w:val="00C20FAC"/>
    <w:rsid w:val="00C258DA"/>
    <w:rsid w:val="00C2613C"/>
    <w:rsid w:val="00C344D5"/>
    <w:rsid w:val="00C37C0A"/>
    <w:rsid w:val="00C67A3F"/>
    <w:rsid w:val="00C73322"/>
    <w:rsid w:val="00C949FF"/>
    <w:rsid w:val="00CB3DB6"/>
    <w:rsid w:val="00CB470C"/>
    <w:rsid w:val="00CE74E6"/>
    <w:rsid w:val="00CF0C8A"/>
    <w:rsid w:val="00CF39F2"/>
    <w:rsid w:val="00D02D92"/>
    <w:rsid w:val="00D201FB"/>
    <w:rsid w:val="00D2265D"/>
    <w:rsid w:val="00D30CA8"/>
    <w:rsid w:val="00D52610"/>
    <w:rsid w:val="00D641A6"/>
    <w:rsid w:val="00D76190"/>
    <w:rsid w:val="00D91564"/>
    <w:rsid w:val="00DB7FC2"/>
    <w:rsid w:val="00DD79B3"/>
    <w:rsid w:val="00DF0224"/>
    <w:rsid w:val="00DF2F22"/>
    <w:rsid w:val="00DF5DFA"/>
    <w:rsid w:val="00E0514C"/>
    <w:rsid w:val="00E07A54"/>
    <w:rsid w:val="00E13D7A"/>
    <w:rsid w:val="00E276CA"/>
    <w:rsid w:val="00E5607E"/>
    <w:rsid w:val="00E573C8"/>
    <w:rsid w:val="00E838D9"/>
    <w:rsid w:val="00E9394A"/>
    <w:rsid w:val="00EA37D0"/>
    <w:rsid w:val="00EB4D02"/>
    <w:rsid w:val="00EF2804"/>
    <w:rsid w:val="00F03296"/>
    <w:rsid w:val="00F22666"/>
    <w:rsid w:val="00F33CD8"/>
    <w:rsid w:val="00F41766"/>
    <w:rsid w:val="00F46584"/>
    <w:rsid w:val="00F639EB"/>
    <w:rsid w:val="00F72BF7"/>
    <w:rsid w:val="00F87850"/>
    <w:rsid w:val="00F9711D"/>
    <w:rsid w:val="00FA70F7"/>
    <w:rsid w:val="00FB43CC"/>
    <w:rsid w:val="00FB567C"/>
    <w:rsid w:val="00FF44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D7F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7FD3"/>
    <w:rPr>
      <w:rFonts w:ascii="Tahoma" w:hAnsi="Tahoma" w:cs="Tahoma"/>
      <w:sz w:val="16"/>
      <w:szCs w:val="16"/>
    </w:rPr>
  </w:style>
  <w:style w:type="character" w:styleId="Enfasidelicata">
    <w:name w:val="Subtle Emphasis"/>
    <w:basedOn w:val="Carpredefinitoparagrafo"/>
    <w:uiPriority w:val="19"/>
    <w:qFormat/>
    <w:rsid w:val="00F9711D"/>
    <w:rPr>
      <w:i/>
      <w:iCs/>
      <w:color w:val="808080" w:themeColor="text1" w:themeTint="7F"/>
    </w:rPr>
  </w:style>
  <w:style w:type="paragraph" w:styleId="Paragrafoelenco">
    <w:name w:val="List Paragraph"/>
    <w:basedOn w:val="Normale"/>
    <w:uiPriority w:val="34"/>
    <w:qFormat/>
    <w:rsid w:val="00DF5DFA"/>
    <w:pPr>
      <w:ind w:left="720"/>
      <w:contextualSpacing/>
    </w:pPr>
  </w:style>
  <w:style w:type="table" w:styleId="Grigliatabella">
    <w:name w:val="Table Grid"/>
    <w:basedOn w:val="Tabellanormale"/>
    <w:uiPriority w:val="59"/>
    <w:rsid w:val="007C53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0D7FD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7FD3"/>
    <w:rPr>
      <w:rFonts w:ascii="Tahoma" w:hAnsi="Tahoma" w:cs="Tahoma"/>
      <w:sz w:val="16"/>
      <w:szCs w:val="16"/>
    </w:rPr>
  </w:style>
  <w:style w:type="character" w:styleId="Enfasidelicata">
    <w:name w:val="Subtle Emphasis"/>
    <w:basedOn w:val="Carpredefinitoparagrafo"/>
    <w:uiPriority w:val="19"/>
    <w:qFormat/>
    <w:rsid w:val="00F9711D"/>
    <w:rPr>
      <w:i/>
      <w:iCs/>
      <w:color w:val="808080" w:themeColor="text1" w:themeTint="7F"/>
    </w:rPr>
  </w:style>
  <w:style w:type="paragraph" w:styleId="Paragrafoelenco">
    <w:name w:val="List Paragraph"/>
    <w:basedOn w:val="Normale"/>
    <w:uiPriority w:val="34"/>
    <w:qFormat/>
    <w:rsid w:val="00DF5DFA"/>
    <w:pPr>
      <w:ind w:left="720"/>
      <w:contextualSpacing/>
    </w:pPr>
  </w:style>
  <w:style w:type="table" w:styleId="Grigliatabella">
    <w:name w:val="Table Grid"/>
    <w:basedOn w:val="Tabellanormale"/>
    <w:uiPriority w:val="59"/>
    <w:rsid w:val="007C535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01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1116</TotalTime>
  <Pages>5</Pages>
  <Words>2422</Words>
  <Characters>13811</Characters>
  <Application>Microsoft Office Word</Application>
  <DocSecurity>0</DocSecurity>
  <Lines>115</Lines>
  <Paragraphs>32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Pirastu</dc:creator>
  <cp:keywords/>
  <dc:description/>
  <cp:lastModifiedBy>Antonella Pirastu</cp:lastModifiedBy>
  <cp:revision>152</cp:revision>
  <cp:lastPrinted>2018-07-16T08:19:00Z</cp:lastPrinted>
  <dcterms:created xsi:type="dcterms:W3CDTF">2018-07-06T07:13:00Z</dcterms:created>
  <dcterms:modified xsi:type="dcterms:W3CDTF">2018-07-16T08:24:00Z</dcterms:modified>
</cp:coreProperties>
</file>