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81" w:rsidRDefault="00B07479" w:rsidP="00B07479">
      <w:pPr>
        <w:jc w:val="center"/>
      </w:pPr>
      <w:r>
        <w:rPr>
          <w:noProof/>
          <w:lang w:eastAsia="it-IT"/>
        </w:rPr>
        <w:drawing>
          <wp:inline distT="0" distB="0" distL="0" distR="0">
            <wp:extent cx="2266950" cy="1628775"/>
            <wp:effectExtent l="0" t="0" r="0" b="0"/>
            <wp:docPr id="1" name="Immagine 1" descr="Logo_U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686" cy="162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479" w:rsidRPr="008247B2" w:rsidRDefault="00B07479" w:rsidP="00B07479">
      <w:pPr>
        <w:pStyle w:val="Default"/>
        <w:rPr>
          <w:color w:val="002060"/>
        </w:rPr>
      </w:pPr>
    </w:p>
    <w:p w:rsidR="00B07479" w:rsidRPr="008247B2" w:rsidRDefault="005F5F13" w:rsidP="00B07479">
      <w:pPr>
        <w:pStyle w:val="Default"/>
        <w:jc w:val="center"/>
        <w:rPr>
          <w:color w:val="002060"/>
          <w:sz w:val="32"/>
          <w:szCs w:val="32"/>
        </w:rPr>
      </w:pPr>
      <w:r>
        <w:rPr>
          <w:b/>
          <w:bCs/>
          <w:color w:val="002060"/>
          <w:sz w:val="32"/>
          <w:szCs w:val="32"/>
        </w:rPr>
        <w:t xml:space="preserve">INTERVENTO </w:t>
      </w:r>
      <w:r w:rsidR="00B07479" w:rsidRPr="008247B2">
        <w:rPr>
          <w:b/>
          <w:bCs/>
          <w:color w:val="002060"/>
          <w:sz w:val="32"/>
          <w:szCs w:val="32"/>
        </w:rPr>
        <w:t>UIL</w:t>
      </w:r>
    </w:p>
    <w:p w:rsidR="000F2F9F" w:rsidRDefault="005F5F13" w:rsidP="00B074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su</w:t>
      </w:r>
      <w:r w:rsidR="00B07479" w:rsidRPr="008247B2">
        <w:rPr>
          <w:b/>
          <w:bCs/>
          <w:color w:val="002060"/>
          <w:sz w:val="28"/>
          <w:szCs w:val="28"/>
        </w:rPr>
        <w:t>l</w:t>
      </w:r>
      <w:r w:rsidR="00C7178B">
        <w:rPr>
          <w:b/>
          <w:bCs/>
          <w:color w:val="002060"/>
          <w:sz w:val="28"/>
          <w:szCs w:val="28"/>
        </w:rPr>
        <w:t>le</w:t>
      </w:r>
      <w:r w:rsidR="00B07479" w:rsidRPr="008247B2">
        <w:rPr>
          <w:b/>
          <w:bCs/>
          <w:color w:val="002060"/>
          <w:sz w:val="28"/>
          <w:szCs w:val="28"/>
        </w:rPr>
        <w:t xml:space="preserve"> </w:t>
      </w:r>
      <w:r w:rsidR="000F2F9F">
        <w:rPr>
          <w:b/>
          <w:bCs/>
          <w:color w:val="002060"/>
          <w:sz w:val="28"/>
          <w:szCs w:val="28"/>
        </w:rPr>
        <w:t xml:space="preserve">proposte di legge </w:t>
      </w:r>
    </w:p>
    <w:p w:rsidR="000F2F9F" w:rsidRDefault="00C7178B" w:rsidP="00B074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C.584, C.1681, C.3601, C.3796, C.4125, C.4185, C.4206</w:t>
      </w:r>
      <w:r w:rsidR="00A3106A">
        <w:rPr>
          <w:b/>
          <w:bCs/>
          <w:color w:val="002060"/>
          <w:sz w:val="28"/>
          <w:szCs w:val="28"/>
        </w:rPr>
        <w:t>, C.4214</w:t>
      </w:r>
    </w:p>
    <w:p w:rsidR="00C7178B" w:rsidRDefault="00C7178B" w:rsidP="00B07479">
      <w:pPr>
        <w:pStyle w:val="Default"/>
        <w:jc w:val="center"/>
        <w:rPr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recanti modifiche alla disciplina del lavoro accessorio</w:t>
      </w:r>
    </w:p>
    <w:p w:rsidR="00C7178B" w:rsidRDefault="00C7178B" w:rsidP="00B07479">
      <w:pPr>
        <w:pStyle w:val="Default"/>
        <w:jc w:val="center"/>
        <w:rPr>
          <w:b/>
          <w:bCs/>
          <w:color w:val="002060"/>
          <w:sz w:val="28"/>
          <w:szCs w:val="28"/>
        </w:rPr>
      </w:pPr>
    </w:p>
    <w:p w:rsidR="00B07479" w:rsidRPr="008247B2" w:rsidRDefault="000F2F9F" w:rsidP="00B07479">
      <w:pPr>
        <w:pStyle w:val="Default"/>
        <w:jc w:val="center"/>
        <w:rPr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XI Com</w:t>
      </w:r>
      <w:r w:rsidR="00B07479" w:rsidRPr="008247B2">
        <w:rPr>
          <w:b/>
          <w:bCs/>
          <w:color w:val="002060"/>
          <w:sz w:val="28"/>
          <w:szCs w:val="28"/>
        </w:rPr>
        <w:t>missione Lavoro Pubblico e Privato - Camera dei Deputati</w:t>
      </w:r>
    </w:p>
    <w:p w:rsidR="00B07479" w:rsidRPr="008247B2" w:rsidRDefault="00B07479" w:rsidP="00B07479">
      <w:pPr>
        <w:jc w:val="center"/>
        <w:rPr>
          <w:b/>
          <w:bCs/>
          <w:color w:val="002060"/>
          <w:sz w:val="23"/>
          <w:szCs w:val="23"/>
        </w:rPr>
      </w:pPr>
      <w:r w:rsidRPr="008247B2">
        <w:rPr>
          <w:b/>
          <w:bCs/>
          <w:color w:val="002060"/>
          <w:sz w:val="23"/>
          <w:szCs w:val="23"/>
        </w:rPr>
        <w:t>(</w:t>
      </w:r>
      <w:r w:rsidR="000F2F9F">
        <w:rPr>
          <w:b/>
          <w:bCs/>
          <w:color w:val="002060"/>
          <w:sz w:val="23"/>
          <w:szCs w:val="23"/>
        </w:rPr>
        <w:t>26</w:t>
      </w:r>
      <w:r w:rsidRPr="008247B2">
        <w:rPr>
          <w:b/>
          <w:bCs/>
          <w:color w:val="002060"/>
          <w:sz w:val="23"/>
          <w:szCs w:val="23"/>
        </w:rPr>
        <w:t xml:space="preserve"> Gennaio 2017)</w:t>
      </w:r>
    </w:p>
    <w:p w:rsidR="006271C3" w:rsidRDefault="006271C3" w:rsidP="000D25C8">
      <w:pPr>
        <w:jc w:val="both"/>
        <w:rPr>
          <w:b/>
          <w:bCs/>
          <w:color w:val="002060"/>
          <w:sz w:val="23"/>
          <w:szCs w:val="23"/>
        </w:rPr>
      </w:pPr>
    </w:p>
    <w:p w:rsidR="000C3B7B" w:rsidRDefault="001A01AD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E’</w:t>
      </w:r>
      <w:r w:rsidRPr="00187CC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ormai nota a tutti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l’incessante </w:t>
      </w:r>
      <w:r w:rsidR="007375D7" w:rsidRPr="00187CC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evoluzione normativa del lavoro accessorio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che ha prodotto negli anni </w:t>
      </w:r>
      <w:r w:rsidR="007375D7" w:rsidRPr="00187CC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l’enorme estensione del suo campo di applicazione sia dal punto di vista soggettivo (tipologia di prestatori di lavoro e committenti) </w:t>
      </w:r>
      <w:r w:rsidR="008D6E6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ch</w:t>
      </w:r>
      <w:r w:rsidR="007375D7" w:rsidRPr="00187CC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 oggettivo (attività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d’impiego</w:t>
      </w:r>
      <w:r w:rsidR="007E299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); c</w:t>
      </w:r>
      <w:r w:rsidR="006C6560" w:rsidRPr="006C656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i esentia</w:t>
      </w:r>
      <w:r w:rsidR="006C656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mo</w:t>
      </w:r>
      <w:r w:rsidR="007E2998" w:rsidRPr="007E299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7E299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quindi, avendo già riepilogato questo percorso nella precedente audizione,</w:t>
      </w:r>
      <w:r w:rsidR="006C656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dal ripercorrerla evitand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o di elencare quali e quanti interventi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legislativi sono intervenuti fino ad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oggi a determinare l’incessante aumento dei voucher venduti.</w:t>
      </w:r>
    </w:p>
    <w:p w:rsidR="000C3B7B" w:rsidRPr="006C6560" w:rsidRDefault="00DC1D28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Ma non vogliamo 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porre un problema di incremento “quantitativo” dei voucher - seppur esistente, vistoso e che andrebbe monitorato con attenzione soprattutto per il vistoso gap annuale t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ra voucher venduti e riscossi -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bensì di ciò che, “qualitativamente”, si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potrebbe 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cela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re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dietro tale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aumento</w:t>
      </w:r>
      <w:r w:rsid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.</w:t>
      </w:r>
    </w:p>
    <w:p w:rsidR="007375D7" w:rsidRPr="007375D7" w:rsidRDefault="000C3B7B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S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 il buono-lavoro fosse stato e venisse realmente utilizzato per 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prestazioni di lavoro “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occasionali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”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ed 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“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accessori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e”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, il problema voucher non si sarebbe posto. 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Ma quando la vendita di voucher,</w:t>
      </w:r>
      <w:r w:rsidR="005477A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come documenta</w:t>
      </w:r>
      <w:r w:rsidR="00597DEF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to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597DEF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da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i dati c</w:t>
      </w:r>
      <w:r w:rsidR="00597DEF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h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 l’Inps pubblica, 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è enormemente più alta in settori quali </w:t>
      </w:r>
      <w:r w:rsidR="007E299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il commercio, turismo e servizi (e comunque, il </w:t>
      </w:r>
      <w:r w:rsidR="007E299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lastRenderedPageBreak/>
        <w:t xml:space="preserve">60% dei voucher sono utilizzati da imprese con dipendenti), 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piuttosto che per attività d’impiego svolte in ambito privato/familiare, il rischio che la prestazione di lavoro 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effettuata 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rientri nell’oggetto sociale dell</w:t>
      </w:r>
      <w:r w:rsidRPr="000C3B7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’azienda</w:t>
      </w:r>
      <w:r w:rsidR="007375D7" w:rsidRPr="007375D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, è molto alto.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 ciò</w:t>
      </w:r>
      <w:r w:rsidR="00597DEF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fa venir meno, nei fatti, il concetto di “accessorietà” della prestazione.</w:t>
      </w:r>
    </w:p>
    <w:p w:rsidR="00597DEF" w:rsidRPr="00683325" w:rsidRDefault="00597DEF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L’attuale normativa permette, inoltre, che l’unico requisito </w:t>
      </w:r>
      <w:r w:rsid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per</w:t>
      </w: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applica</w:t>
      </w:r>
      <w:r w:rsid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re</w:t>
      </w: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tale </w:t>
      </w:r>
      <w:r w:rsidR="008D6E6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istituto</w:t>
      </w: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sia quello di natura economica: </w:t>
      </w:r>
      <w:r w:rsidR="0057579F"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il compenso annuale del prestatore di lavoro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che, stando alle ultime modifiche apportate dal d.lgs 81/2015, </w:t>
      </w:r>
      <w:r w:rsidR="0057579F"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non può superare </w:t>
      </w: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€ 7000 netti annui indipendentemente dal numero dei committenti. </w:t>
      </w:r>
    </w:p>
    <w:p w:rsidR="0057579F" w:rsidRDefault="00597DEF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Da tale scelta del legislatore, </w:t>
      </w:r>
      <w:r w:rsid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deriva la completa scomparsa della “occasionalità” della prestazione, rendendo pienamente legittimo l’utilizzo di voucher per prestazioni svolte “senza soluzione di continuità” per giorni e mesi fino al raggiungimento del requisito economico di cui sopra. </w:t>
      </w:r>
      <w:r w:rsidRPr="00683325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1F2C9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In pratica il legislatore ha reso maggiormente appetibile il lavoro accessorio rispetto ad una assunzione di natura subordinata.</w:t>
      </w:r>
    </w:p>
    <w:p w:rsidR="001F2C9D" w:rsidRDefault="001F2C9D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E’ un controsenso, se non una ipocrisia intellettuale, sostenere, </w:t>
      </w:r>
      <w:r w:rsidR="008D6E6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 fronte di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cospicue risorse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stanziate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lla fisc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alità generale per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incentivare il contratto a tempo indeterminato e contrastare la cattiva flessibilità, </w:t>
      </w:r>
      <w:r w:rsidR="008D6E6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che,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nel contempo,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si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permett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a </w:t>
      </w:r>
      <w:r w:rsidR="008D6E6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un uso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(e abuso) indiscriminato del lavoro accessorio.</w:t>
      </w:r>
    </w:p>
    <w:p w:rsidR="001F2C9D" w:rsidRDefault="001F2C9D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Delle due l’una. La politica, tutta, deve aver ben chiaro quale è il mercato del lavoro che vuole per i nostri giovani e meno giovani.</w:t>
      </w:r>
    </w:p>
    <w:p w:rsidR="005477A3" w:rsidRDefault="00D573C4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E’ da tali analisi e riflessioni che partiamo per condividere l’intento restrittivo di molte delle proposte di legge che formano oggetto dell’odierna audizione, condividendo con le stesse il ritorno alla primogenita regolamentazione del 2003</w:t>
      </w:r>
      <w:r w:rsidR="00B91BEF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la</w:t>
      </w:r>
      <w:r w:rsidR="00AE143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cui </w:t>
      </w:r>
      <w:r w:rsidR="00AE143D" w:rsidRPr="00DC1D28">
        <w:rPr>
          <w:rFonts w:ascii="Calibri" w:eastAsia="Times New Roman" w:hAnsi="Calibri" w:cs="Times New Roman"/>
          <w:i/>
          <w:color w:val="002060"/>
          <w:sz w:val="28"/>
          <w:szCs w:val="28"/>
          <w:lang w:eastAsia="it-IT"/>
        </w:rPr>
        <w:t>conditio sine qua non</w:t>
      </w:r>
      <w:r w:rsidR="00AE143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per svolgere lavoro con voucher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risiedeva nella </w:t>
      </w:r>
      <w:r w:rsidR="00AE143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”occasionalità” ed “</w:t>
      </w:r>
      <w:r w:rsidR="009E650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accessorietà” della prestazione</w:t>
      </w:r>
      <w:r w:rsidR="00AE143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</w:t>
      </w:r>
      <w:r w:rsidR="009E650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</w:t>
      </w:r>
      <w:r w:rsidR="00DC1D28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a ben delineati confini soggettivi ed oggettivi di applicazione. </w:t>
      </w:r>
    </w:p>
    <w:p w:rsidR="00DC1D28" w:rsidRDefault="00DC1D28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lastRenderedPageBreak/>
        <w:t xml:space="preserve">Auspichiamo, quindi, che gli interventi correttivi sul lavoro accessorio mirino ad un ritorno </w:t>
      </w:r>
      <w:r w:rsidR="009E650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all’originaria normativa in cui,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essendo chiara la finalità, era</w:t>
      </w:r>
      <w:r w:rsidR="007C450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no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altrettanto </w:t>
      </w:r>
      <w:r w:rsidR="007C450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confinati,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7C450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entro certi limiti, i target di prestatori di lavoro, committenti e attività d’impiego.</w:t>
      </w:r>
    </w:p>
    <w:p w:rsidR="009B4E63" w:rsidRDefault="007C4509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Laddove si propendesse per tale ed ottimale restringimento dell’istituto, proponiamo ulteriori correttivi: </w:t>
      </w:r>
    </w:p>
    <w:p w:rsidR="005477A3" w:rsidRDefault="007C4509" w:rsidP="009B4E6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prevedere</w:t>
      </w:r>
      <w:r w:rsidR="00B91BEF"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la riduzione da € 7000 a € 2000</w:t>
      </w:r>
      <w:r w:rsidR="00B91BEF"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B91BEF"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del tetto annuo</w:t>
      </w:r>
      <w:r w:rsidR="00B91BEF"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di compenso percepibile dal prestatore di lavoro </w:t>
      </w:r>
      <w:r w:rsidR="00B91BEF"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indipendentemente dal numero dei committenti</w:t>
      </w:r>
      <w:r w:rsidR="00B91BEF"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; </w:t>
      </w:r>
    </w:p>
    <w:p w:rsidR="009B4E63" w:rsidRDefault="001C18DF" w:rsidP="009B4E6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per beneficiari di prestazioni di integrazioni e sostegno al reddito resta il tetto di 3.000 euro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.</w:t>
      </w:r>
    </w:p>
    <w:p w:rsidR="00427902" w:rsidRPr="009B4E63" w:rsidRDefault="00B91BEF" w:rsidP="009B4E63">
      <w:pPr>
        <w:pStyle w:val="Paragrafoelenco"/>
        <w:numPr>
          <w:ilvl w:val="0"/>
          <w:numId w:val="2"/>
        </w:num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introdurre, ex novo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 w:rsidR="00D573C4"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un </w:t>
      </w:r>
      <w:r w:rsidR="00D573C4" w:rsidRPr="00E17F50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tetto massimo annuo di compenso erogabile da parte del committente indipendentemente dal num</w:t>
      </w:r>
      <w:r w:rsidRPr="00E17F50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ero dei prestatori di lavoro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che non dovrebbe superare </w:t>
      </w: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€ 2000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E17F50" w:rsidRPr="00E17F50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l’anno</w:t>
      </w:r>
      <w:r w:rsidR="00E17F5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con un massimo di </w:t>
      </w: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€ 500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Pr="00E17F50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annue</w:t>
      </w:r>
      <w:r w:rsidRP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per singolo prestatore.</w:t>
      </w:r>
    </w:p>
    <w:p w:rsidR="00121FDE" w:rsidRDefault="00AE143D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Crediamo che se la finalità del lavoro accessorio, oggi come ieri, si </w:t>
      </w:r>
      <w:r w:rsidR="006C4F7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vuole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che resti il contrasto al lavoro nero in alcune </w:t>
      </w:r>
      <w:r w:rsidR="00AC073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sacche di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attività dove da sempre implacabilmente si annida</w:t>
      </w:r>
      <w:r w:rsidR="006C4F7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 non si p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uò</w:t>
      </w:r>
      <w:r w:rsidR="006C4F7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che restringer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n</w:t>
      </w:r>
      <w:r w:rsidR="006C4F7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e fortemente il suo campo di applicazione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sia soggettivo, oggettivo ed economico</w:t>
      </w:r>
      <w:r w:rsidR="006C4F7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. </w:t>
      </w:r>
    </w:p>
    <w:p w:rsidR="009F56A2" w:rsidRDefault="00AE143D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Se invece, 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l’intento è quello di farlo divenire, come nei fatti già sta accadendo</w:t>
      </w:r>
      <w:r w:rsidR="00121FDE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in alcuni settori quali turismo, servizi e commercio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, </w:t>
      </w:r>
      <w:r w:rsidR="009F56A2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un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“sostituto” mascherato di rapporti di lavoro subordinati, 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grazie a</w:t>
      </w:r>
      <w:r w:rsidR="00AC073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i vigenti elementi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concorrenziali </w:t>
      </w:r>
      <w:r w:rsidR="00AC0739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che lo rendono notevolmente appetibile</w:t>
      </w:r>
      <w:r w:rsidR="00D661F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(esenzione fiscale, bassissimi costi contributivi ed assicurativi),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allora le cose cambiano</w:t>
      </w:r>
      <w:r w:rsidR="00F4345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 w:rsidR="00A3416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ma occorre che ci si assuma anche la responsabilità delle forti conseguenze che ciò produrrà in tema di assenza di tutele e diritti per il lavoratore </w:t>
      </w:r>
      <w:r w:rsidR="00F4345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(che verrebbero viceversa garantite dalla contrattazione collettiva di settore) </w:t>
      </w:r>
      <w:r w:rsidR="00A3416A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 di minori entrate fiscali nelle casse dello Stato. </w:t>
      </w:r>
    </w:p>
    <w:p w:rsidR="00E82865" w:rsidRDefault="00121FDE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lastRenderedPageBreak/>
        <w:t>In forza di questa critica riflessione, ma consapevoli che il voucher possa essere uno strumento utile</w:t>
      </w:r>
      <w:r w:rsidR="009B588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anche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ad arginare il rischio di lavoro nero </w:t>
      </w:r>
      <w:r w:rsidR="000D347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in un mercato del lavoro in continua trasformazione, anche tecnologica, in cui esistono “vulnus” regolamentari di alcune prestazioni ancora </w:t>
      </w:r>
      <w:r w:rsidR="004A463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non </w:t>
      </w:r>
      <w:r w:rsidR="000D347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definite da un punto di vista normativo, quali ad esempio i lavoretti nella c.d Gig-economy, </w:t>
      </w:r>
      <w:r w:rsidR="004A463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la nostra proposta è quella di un utilizzo del lavoro accessorio solo </w:t>
      </w:r>
      <w:r w:rsidR="000D347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in </w:t>
      </w:r>
      <w:r w:rsidR="004A463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presenza di </w:t>
      </w:r>
      <w:r w:rsidR="000F638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  <w:r w:rsidR="009B588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“</w:t>
      </w:r>
      <w:r w:rsidRPr="009B588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casi </w:t>
      </w:r>
      <w:r w:rsidR="009B5886" w:rsidRPr="009B5886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del tutto eccezionali e meramente temporanei</w:t>
      </w:r>
      <w:r w:rsidR="009B5886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”, </w:t>
      </w:r>
      <w:r w:rsidR="004A463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a</w:t>
      </w:r>
      <w:r w:rsidR="000D347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nche nei settori caratterizzati da attività d’impresa, ma con forti paletti normativi.</w:t>
      </w:r>
    </w:p>
    <w:p w:rsidR="000F6387" w:rsidRDefault="000D3473" w:rsidP="00A92E2D">
      <w:pPr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Proponiamo</w:t>
      </w:r>
      <w:r w:rsidR="004A463B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 a tal fine, le seguenti ipotesi di correttivi</w:t>
      </w:r>
      <w:r w:rsidR="000F638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: </w:t>
      </w:r>
    </w:p>
    <w:p w:rsidR="000F6387" w:rsidRDefault="000F6387" w:rsidP="000F638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0F6387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esclusione totale del settore agricolo ; </w:t>
      </w:r>
    </w:p>
    <w:p w:rsidR="00AA3E94" w:rsidRDefault="00AA3E94" w:rsidP="000F6387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divieto di utilizzo in appalti per opere e servizi (compresa la somministrazione)</w:t>
      </w:r>
      <w:r w:rsidR="005477A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;</w:t>
      </w:r>
    </w:p>
    <w:p w:rsidR="001C18DF" w:rsidRDefault="000F6387" w:rsidP="001C18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che il singolo voucher corrisponda ad un minimo di </w:t>
      </w:r>
      <w:r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8</w:t>
      </w: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ore lavorate</w:t>
      </w:r>
      <w:r w:rsidR="005477A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;</w:t>
      </w:r>
    </w:p>
    <w:p w:rsidR="0086499E" w:rsidRPr="001C18DF" w:rsidRDefault="0083390F" w:rsidP="001C18DF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per il committente, un tetto massimo di 10 giornate l’anno di utilizzo dei voucher, indipendentemente dal numero dei prestatori; </w:t>
      </w:r>
    </w:p>
    <w:p w:rsidR="0083390F" w:rsidRPr="009B4E63" w:rsidRDefault="0083390F" w:rsidP="005477A3">
      <w:pPr>
        <w:pStyle w:val="Paragrafoelenco"/>
        <w:numPr>
          <w:ilvl w:val="0"/>
          <w:numId w:val="1"/>
        </w:numPr>
        <w:spacing w:after="120" w:line="360" w:lineRule="auto"/>
        <w:ind w:left="714" w:hanging="357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che il singolo committente non possa avvalersi dello stesso prestatore di lavoro per più di 2 giornate di lavoro consecutive;</w:t>
      </w:r>
    </w:p>
    <w:p w:rsidR="0083390F" w:rsidRPr="001C18DF" w:rsidRDefault="0083390F" w:rsidP="00D8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Strettamente collegata a tale ipotesi di modifica, </w:t>
      </w:r>
      <w:r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apportare un correttivo </w:t>
      </w:r>
      <w:r w:rsidR="00282C9F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alla discip</w:t>
      </w:r>
      <w:r w:rsidR="005477A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lina sul lavoro </w:t>
      </w:r>
      <w:r w:rsidR="007846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a tempo determinato</w:t>
      </w:r>
      <w:bookmarkStart w:id="0" w:name="_GoBack"/>
      <w:bookmarkEnd w:id="0"/>
      <w:r w:rsidR="005477A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,</w:t>
      </w:r>
      <w:r w:rsidR="00282C9F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nello specifico all’</w:t>
      </w:r>
      <w:r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art. </w:t>
      </w:r>
      <w:r w:rsidR="00282C9F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29, comma 2, lett. b) del d.lgs 81/2015, estendendolo a tutti i settori (oltre al turismo ed ai pubblici esercizi)</w:t>
      </w:r>
      <w:r w:rsidR="000F6387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delegando </w:t>
      </w:r>
      <w:r w:rsidR="00072D10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la</w:t>
      </w:r>
      <w:r w:rsidR="00182936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regolazione alla contrattazione collettiva nazionale</w:t>
      </w:r>
      <w:r w:rsidR="00282C9F" w:rsidRPr="001C18DF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. </w:t>
      </w:r>
    </w:p>
    <w:p w:rsidR="004B5099" w:rsidRPr="009B4E63" w:rsidRDefault="004B5099" w:rsidP="00D8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Cogliamo</w:t>
      </w:r>
      <w:r w:rsidR="00072D1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inoltre</w:t>
      </w:r>
      <w:r w:rsidR="00072D1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l’occasione per suggerire un ulteriore </w:t>
      </w:r>
      <w:r w:rsidR="00E17F5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correttivo normativo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indipendentement</w:t>
      </w:r>
      <w:r w:rsid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e dalla strada che </w:t>
      </w:r>
      <w:r w:rsidR="00072D10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si intende percorre sul lavoro accessorio.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Crediamo che l’esiguità della contribuzione </w:t>
      </w:r>
      <w:r w:rsid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INPS </w:t>
      </w:r>
      <w:r w:rsidR="00A80FCC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per ogni  voucher 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(pari, attualmente, al 13%), debba vedere</w:t>
      </w:r>
      <w:r w:rsidR="009B4E63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 w:rsidR="00A80FCC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ad importo invariato, </w:t>
      </w:r>
      <w:r w:rsidR="000F638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una </w:t>
      </w:r>
      <w:r w:rsidR="000F6387" w:rsidRPr="00A82D8C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diversa destinazione</w:t>
      </w:r>
      <w:r w:rsidR="000F6387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: </w:t>
      </w:r>
      <w:r w:rsidRPr="009B4E6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 xml:space="preserve"> prestazioni sociali piuttosto che ai fini pensionistici.</w:t>
      </w:r>
    </w:p>
    <w:p w:rsidR="004B5099" w:rsidRDefault="004B5099" w:rsidP="00D8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lastRenderedPageBreak/>
        <w:t xml:space="preserve">Inoltre, riteniamo che </w:t>
      </w:r>
      <w:r w:rsidRPr="005477A3">
        <w:rPr>
          <w:rFonts w:ascii="Calibri" w:eastAsia="Times New Roman" w:hAnsi="Calibri" w:cs="Times New Roman"/>
          <w:b/>
          <w:color w:val="002060"/>
          <w:sz w:val="28"/>
          <w:szCs w:val="28"/>
          <w:lang w:eastAsia="it-IT"/>
        </w:rPr>
        <w:t>l’aggio dell’Inps, attualmente pari al 5%, debba essere ridotto ad un 2%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destinando il restante ad un aumento delle altre due contribuzioni (per prestazioni sociali e assicurative).</w:t>
      </w:r>
    </w:p>
    <w:p w:rsidR="004B5099" w:rsidRDefault="004B5099" w:rsidP="00D8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360" w:lineRule="auto"/>
        <w:jc w:val="both"/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Non si può sottovalutare rispetto alla corretta applicazione dell’istituto, il forte ruolo di vigilante che dovrà avere l’Ispettorato Nazionale del Lavoro al fine di contrastare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 anche attraverso le necessarie ed esistenti sanzioni,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gli eventuali abusi che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nonostante le modifiche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,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si 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potrebbero palesare</w:t>
      </w: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.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 </w:t>
      </w:r>
    </w:p>
    <w:p w:rsidR="008247B2" w:rsidRPr="008247B2" w:rsidRDefault="004B5099" w:rsidP="00D852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bCs/>
          <w:color w:val="002060"/>
          <w:sz w:val="28"/>
          <w:szCs w:val="28"/>
        </w:rPr>
      </w:pPr>
      <w:r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 xml:space="preserve">L’efficienza e l’efficacia delle ispezioni potranno essere garantite anche grazie ad un sistema, rinnovato, di comunicazione della prestazione accessoria che renda la stessa veloce, tracciabile e con una connotazione di pluriefficacia nei confronti di tutti gli Enti della pubblica amministrazione preposti alla conoscenza  </w:t>
      </w:r>
      <w:r w:rsidR="00D852AD">
        <w:rPr>
          <w:rFonts w:ascii="Calibri" w:eastAsia="Times New Roman" w:hAnsi="Calibri" w:cs="Times New Roman"/>
          <w:color w:val="002060"/>
          <w:sz w:val="28"/>
          <w:szCs w:val="28"/>
          <w:lang w:eastAsia="it-IT"/>
        </w:rPr>
        <w:t>della stessa.</w:t>
      </w:r>
    </w:p>
    <w:sectPr w:rsidR="008247B2" w:rsidRPr="008247B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BDB" w:rsidRDefault="00B60BDB" w:rsidP="008D4F0F">
      <w:pPr>
        <w:spacing w:after="0" w:line="240" w:lineRule="auto"/>
      </w:pPr>
      <w:r>
        <w:separator/>
      </w:r>
    </w:p>
  </w:endnote>
  <w:endnote w:type="continuationSeparator" w:id="0">
    <w:p w:rsidR="00B60BDB" w:rsidRDefault="00B60BDB" w:rsidP="008D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4572122"/>
      <w:docPartObj>
        <w:docPartGallery w:val="Page Numbers (Bottom of Page)"/>
        <w:docPartUnique/>
      </w:docPartObj>
    </w:sdtPr>
    <w:sdtEndPr/>
    <w:sdtContent>
      <w:p w:rsidR="008D4F0F" w:rsidRDefault="008D4F0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663">
          <w:rPr>
            <w:noProof/>
          </w:rPr>
          <w:t>4</w:t>
        </w:r>
        <w:r>
          <w:fldChar w:fldCharType="end"/>
        </w:r>
      </w:p>
    </w:sdtContent>
  </w:sdt>
  <w:p w:rsidR="008D4F0F" w:rsidRDefault="008D4F0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BDB" w:rsidRDefault="00B60BDB" w:rsidP="008D4F0F">
      <w:pPr>
        <w:spacing w:after="0" w:line="240" w:lineRule="auto"/>
      </w:pPr>
      <w:r>
        <w:separator/>
      </w:r>
    </w:p>
  </w:footnote>
  <w:footnote w:type="continuationSeparator" w:id="0">
    <w:p w:rsidR="00B60BDB" w:rsidRDefault="00B60BDB" w:rsidP="008D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D0475"/>
    <w:multiLevelType w:val="hybridMultilevel"/>
    <w:tmpl w:val="FC7EFAD0"/>
    <w:lvl w:ilvl="0" w:tplc="F36610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F1319"/>
    <w:multiLevelType w:val="hybridMultilevel"/>
    <w:tmpl w:val="BCA22D28"/>
    <w:lvl w:ilvl="0" w:tplc="C7F0F0E8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B4"/>
    <w:rsid w:val="00007618"/>
    <w:rsid w:val="00072D10"/>
    <w:rsid w:val="000C3B7B"/>
    <w:rsid w:val="000D25C8"/>
    <w:rsid w:val="000D3473"/>
    <w:rsid w:val="000F1F26"/>
    <w:rsid w:val="000F2F9F"/>
    <w:rsid w:val="000F6387"/>
    <w:rsid w:val="00121FDE"/>
    <w:rsid w:val="001732DD"/>
    <w:rsid w:val="001755EA"/>
    <w:rsid w:val="00182936"/>
    <w:rsid w:val="00187CC6"/>
    <w:rsid w:val="001A01AD"/>
    <w:rsid w:val="001A3B80"/>
    <w:rsid w:val="001C18DF"/>
    <w:rsid w:val="001D143F"/>
    <w:rsid w:val="001F2C9D"/>
    <w:rsid w:val="00282C9F"/>
    <w:rsid w:val="002958E4"/>
    <w:rsid w:val="002C3667"/>
    <w:rsid w:val="002D7470"/>
    <w:rsid w:val="002F50DA"/>
    <w:rsid w:val="00301B70"/>
    <w:rsid w:val="003152BD"/>
    <w:rsid w:val="003366E1"/>
    <w:rsid w:val="00347823"/>
    <w:rsid w:val="003B7446"/>
    <w:rsid w:val="003D08D8"/>
    <w:rsid w:val="003E1690"/>
    <w:rsid w:val="0040419A"/>
    <w:rsid w:val="00427902"/>
    <w:rsid w:val="004A463B"/>
    <w:rsid w:val="004B5099"/>
    <w:rsid w:val="005477A3"/>
    <w:rsid w:val="0057579F"/>
    <w:rsid w:val="00597DEF"/>
    <w:rsid w:val="005F5F13"/>
    <w:rsid w:val="00603CEC"/>
    <w:rsid w:val="006271C3"/>
    <w:rsid w:val="00652383"/>
    <w:rsid w:val="00683325"/>
    <w:rsid w:val="006A08A8"/>
    <w:rsid w:val="006C4F70"/>
    <w:rsid w:val="006C6560"/>
    <w:rsid w:val="00703381"/>
    <w:rsid w:val="007375D7"/>
    <w:rsid w:val="00745983"/>
    <w:rsid w:val="00755F7D"/>
    <w:rsid w:val="007745AC"/>
    <w:rsid w:val="00784663"/>
    <w:rsid w:val="007C4509"/>
    <w:rsid w:val="007E2998"/>
    <w:rsid w:val="008247B2"/>
    <w:rsid w:val="0083390F"/>
    <w:rsid w:val="0086499E"/>
    <w:rsid w:val="008D4F0F"/>
    <w:rsid w:val="008D6E67"/>
    <w:rsid w:val="008E2AFC"/>
    <w:rsid w:val="00901EA8"/>
    <w:rsid w:val="0092066D"/>
    <w:rsid w:val="00946410"/>
    <w:rsid w:val="009B4E63"/>
    <w:rsid w:val="009B5886"/>
    <w:rsid w:val="009C39B8"/>
    <w:rsid w:val="009E6503"/>
    <w:rsid w:val="009F02B9"/>
    <w:rsid w:val="009F56A2"/>
    <w:rsid w:val="00A05AB4"/>
    <w:rsid w:val="00A3106A"/>
    <w:rsid w:val="00A3416A"/>
    <w:rsid w:val="00A50E2B"/>
    <w:rsid w:val="00A63DF5"/>
    <w:rsid w:val="00A80FCC"/>
    <w:rsid w:val="00A82D8C"/>
    <w:rsid w:val="00A91123"/>
    <w:rsid w:val="00A92E2D"/>
    <w:rsid w:val="00AA3E94"/>
    <w:rsid w:val="00AB6EAA"/>
    <w:rsid w:val="00AC0739"/>
    <w:rsid w:val="00AE143D"/>
    <w:rsid w:val="00B07479"/>
    <w:rsid w:val="00B15069"/>
    <w:rsid w:val="00B60BDB"/>
    <w:rsid w:val="00B635DA"/>
    <w:rsid w:val="00B84BBE"/>
    <w:rsid w:val="00B91BEF"/>
    <w:rsid w:val="00BF1221"/>
    <w:rsid w:val="00C63448"/>
    <w:rsid w:val="00C7178B"/>
    <w:rsid w:val="00CF3A4E"/>
    <w:rsid w:val="00D573C4"/>
    <w:rsid w:val="00D661FA"/>
    <w:rsid w:val="00D852AD"/>
    <w:rsid w:val="00D93F17"/>
    <w:rsid w:val="00DC1D28"/>
    <w:rsid w:val="00E007AE"/>
    <w:rsid w:val="00E17F50"/>
    <w:rsid w:val="00E56033"/>
    <w:rsid w:val="00E72CAE"/>
    <w:rsid w:val="00E82865"/>
    <w:rsid w:val="00E9737B"/>
    <w:rsid w:val="00EA0C00"/>
    <w:rsid w:val="00EB089A"/>
    <w:rsid w:val="00F43453"/>
    <w:rsid w:val="00F43FA4"/>
    <w:rsid w:val="00F4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F0F"/>
  </w:style>
  <w:style w:type="paragraph" w:styleId="Pidipagina">
    <w:name w:val="footer"/>
    <w:basedOn w:val="Normale"/>
    <w:link w:val="PidipaginaCarattere"/>
    <w:uiPriority w:val="99"/>
    <w:unhideWhenUsed/>
    <w:rsid w:val="008D4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F0F"/>
  </w:style>
  <w:style w:type="paragraph" w:styleId="Paragrafoelenco">
    <w:name w:val="List Paragraph"/>
    <w:basedOn w:val="Normale"/>
    <w:uiPriority w:val="34"/>
    <w:qFormat/>
    <w:rsid w:val="0083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74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4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D4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4F0F"/>
  </w:style>
  <w:style w:type="paragraph" w:styleId="Pidipagina">
    <w:name w:val="footer"/>
    <w:basedOn w:val="Normale"/>
    <w:link w:val="PidipaginaCarattere"/>
    <w:uiPriority w:val="99"/>
    <w:unhideWhenUsed/>
    <w:rsid w:val="008D4F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4F0F"/>
  </w:style>
  <w:style w:type="paragraph" w:styleId="Paragrafoelenco">
    <w:name w:val="List Paragraph"/>
    <w:basedOn w:val="Normale"/>
    <w:uiPriority w:val="34"/>
    <w:qFormat/>
    <w:rsid w:val="0083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1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Pirastu</dc:creator>
  <cp:lastModifiedBy>Antonella Pirastu</cp:lastModifiedBy>
  <cp:revision>12</cp:revision>
  <cp:lastPrinted>2017-01-26T11:16:00Z</cp:lastPrinted>
  <dcterms:created xsi:type="dcterms:W3CDTF">2017-01-26T10:36:00Z</dcterms:created>
  <dcterms:modified xsi:type="dcterms:W3CDTF">2017-01-26T15:33:00Z</dcterms:modified>
</cp:coreProperties>
</file>